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0F45D" w14:textId="602DCEF3" w:rsidR="00EC0EF5" w:rsidRDefault="00EC0EF5" w:rsidP="00EC0EF5">
      <w:pPr>
        <w:pStyle w:val="paragraph"/>
        <w:spacing w:before="0" w:beforeAutospacing="0" w:after="0" w:afterAutospacing="0"/>
        <w:textAlignment w:val="baseline"/>
        <w:rPr>
          <w:rStyle w:val="normaltextrun"/>
          <w:rFonts w:ascii="Arial" w:hAnsi="Arial" w:cs="Arial"/>
          <w:b/>
          <w:bCs/>
          <w:color w:val="212121"/>
          <w:sz w:val="28"/>
          <w:szCs w:val="28"/>
        </w:rPr>
      </w:pPr>
      <w:r>
        <w:rPr>
          <w:rStyle w:val="normaltextrun"/>
          <w:rFonts w:ascii="Arial" w:hAnsi="Arial" w:cs="Arial"/>
          <w:b/>
          <w:bCs/>
          <w:noProof/>
          <w:color w:val="212121"/>
          <w:sz w:val="28"/>
          <w:szCs w:val="28"/>
        </w:rPr>
        <w:drawing>
          <wp:inline distT="0" distB="0" distL="0" distR="0" wp14:anchorId="2B1B7462" wp14:editId="4ECD2E8B">
            <wp:extent cx="1903157" cy="923925"/>
            <wp:effectExtent l="0" t="0" r="1905" b="0"/>
            <wp:docPr id="768783532" name="Picture 768783532" descr="A red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83532" name="Picture 1" descr="A red line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1701" cy="932927"/>
                    </a:xfrm>
                    <a:prstGeom prst="rect">
                      <a:avLst/>
                    </a:prstGeom>
                    <a:noFill/>
                    <a:ln>
                      <a:noFill/>
                    </a:ln>
                  </pic:spPr>
                </pic:pic>
              </a:graphicData>
            </a:graphic>
          </wp:inline>
        </w:drawing>
      </w:r>
      <w:r>
        <w:rPr>
          <w:rFonts w:ascii="Segoe UI" w:hAnsi="Segoe UI" w:cs="Segoe UI"/>
          <w:color w:val="212121"/>
          <w:sz w:val="22"/>
          <w:szCs w:val="22"/>
          <w:shd w:val="clear" w:color="auto" w:fill="FFFFFF"/>
        </w:rPr>
        <w:br/>
      </w:r>
    </w:p>
    <w:p w14:paraId="7437AD71" w14:textId="77777777" w:rsidR="00EC0EF5" w:rsidRDefault="00EC0EF5" w:rsidP="0034059F">
      <w:pPr>
        <w:pStyle w:val="paragraph"/>
        <w:spacing w:before="0" w:beforeAutospacing="0" w:after="0" w:afterAutospacing="0"/>
        <w:jc w:val="center"/>
        <w:textAlignment w:val="baseline"/>
        <w:rPr>
          <w:rStyle w:val="normaltextrun"/>
          <w:rFonts w:ascii="Arial" w:hAnsi="Arial" w:cs="Arial"/>
          <w:b/>
          <w:bCs/>
          <w:color w:val="212121"/>
          <w:sz w:val="28"/>
          <w:szCs w:val="28"/>
        </w:rPr>
      </w:pPr>
    </w:p>
    <w:p w14:paraId="53F17695" w14:textId="77777777" w:rsidR="00EC0EF5" w:rsidRDefault="00EC0EF5" w:rsidP="0034059F">
      <w:pPr>
        <w:pStyle w:val="paragraph"/>
        <w:spacing w:before="0" w:beforeAutospacing="0" w:after="0" w:afterAutospacing="0"/>
        <w:jc w:val="center"/>
        <w:textAlignment w:val="baseline"/>
        <w:rPr>
          <w:rStyle w:val="normaltextrun"/>
          <w:rFonts w:ascii="Arial" w:hAnsi="Arial" w:cs="Arial"/>
          <w:b/>
          <w:bCs/>
          <w:color w:val="212121"/>
          <w:sz w:val="28"/>
          <w:szCs w:val="28"/>
        </w:rPr>
      </w:pPr>
    </w:p>
    <w:p w14:paraId="508ECFC1" w14:textId="55D23033" w:rsidR="0034059F" w:rsidRPr="00EC0EF5" w:rsidRDefault="0034059F" w:rsidP="00EC0EF5">
      <w:pPr>
        <w:pStyle w:val="paragraph"/>
        <w:spacing w:before="0" w:beforeAutospacing="0" w:after="0" w:afterAutospacing="0"/>
        <w:jc w:val="center"/>
        <w:textAlignment w:val="baseline"/>
        <w:rPr>
          <w:rFonts w:ascii="Arial" w:hAnsi="Arial" w:cs="Arial"/>
          <w:b/>
          <w:bCs/>
          <w:color w:val="212121"/>
          <w:sz w:val="28"/>
          <w:szCs w:val="28"/>
        </w:rPr>
      </w:pPr>
      <w:r>
        <w:rPr>
          <w:rStyle w:val="normaltextrun"/>
          <w:rFonts w:ascii="Arial" w:hAnsi="Arial" w:cs="Arial"/>
          <w:b/>
          <w:bCs/>
          <w:color w:val="212121"/>
          <w:sz w:val="28"/>
          <w:szCs w:val="28"/>
        </w:rPr>
        <w:t>Comments of Justin Wood, Director of Policy</w:t>
      </w:r>
      <w:r w:rsidR="00EC0EF5">
        <w:rPr>
          <w:rStyle w:val="normaltextrun"/>
          <w:rFonts w:ascii="Arial" w:hAnsi="Arial" w:cs="Arial"/>
          <w:b/>
          <w:bCs/>
          <w:color w:val="212121"/>
          <w:sz w:val="28"/>
          <w:szCs w:val="28"/>
        </w:rPr>
        <w:t xml:space="preserve"> </w:t>
      </w:r>
      <w:r>
        <w:rPr>
          <w:rStyle w:val="normaltextrun"/>
          <w:rFonts w:ascii="Arial" w:hAnsi="Arial" w:cs="Arial"/>
          <w:b/>
          <w:bCs/>
          <w:color w:val="212121"/>
          <w:sz w:val="28"/>
          <w:szCs w:val="28"/>
        </w:rPr>
        <w:t xml:space="preserve">of </w:t>
      </w:r>
    </w:p>
    <w:p w14:paraId="11C4F4FC" w14:textId="77777777" w:rsidR="0034059F" w:rsidRDefault="0034059F" w:rsidP="00340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212121"/>
          <w:sz w:val="28"/>
          <w:szCs w:val="28"/>
        </w:rPr>
        <w:t>New York Lawyers for the Public Interest</w:t>
      </w:r>
      <w:r>
        <w:rPr>
          <w:rStyle w:val="eop"/>
          <w:rFonts w:ascii="Arial" w:hAnsi="Arial" w:cs="Arial"/>
          <w:color w:val="212121"/>
          <w:sz w:val="28"/>
          <w:szCs w:val="28"/>
        </w:rPr>
        <w:t> </w:t>
      </w:r>
    </w:p>
    <w:p w14:paraId="142A631F" w14:textId="77777777" w:rsidR="00EC0EF5" w:rsidRDefault="0034059F" w:rsidP="0034059F">
      <w:pPr>
        <w:pStyle w:val="paragraph"/>
        <w:spacing w:before="0" w:beforeAutospacing="0" w:after="0" w:afterAutospacing="0"/>
        <w:jc w:val="center"/>
        <w:textAlignment w:val="baseline"/>
        <w:rPr>
          <w:rStyle w:val="normaltextrun"/>
          <w:rFonts w:ascii="Arial" w:hAnsi="Arial" w:cs="Arial"/>
          <w:b/>
          <w:bCs/>
          <w:color w:val="212121"/>
          <w:sz w:val="28"/>
          <w:szCs w:val="28"/>
        </w:rPr>
      </w:pPr>
      <w:r>
        <w:rPr>
          <w:rStyle w:val="normaltextrun"/>
          <w:rFonts w:ascii="Arial" w:hAnsi="Arial" w:cs="Arial"/>
          <w:b/>
          <w:bCs/>
          <w:color w:val="212121"/>
          <w:sz w:val="28"/>
          <w:szCs w:val="28"/>
        </w:rPr>
        <w:t> to the Taxi and Limousine Commission on September 20</w:t>
      </w:r>
      <w:r w:rsidRPr="0034059F">
        <w:rPr>
          <w:rStyle w:val="normaltextrun"/>
          <w:rFonts w:ascii="Arial" w:hAnsi="Arial" w:cs="Arial"/>
          <w:b/>
          <w:bCs/>
          <w:color w:val="212121"/>
          <w:sz w:val="28"/>
          <w:szCs w:val="28"/>
          <w:vertAlign w:val="superscript"/>
        </w:rPr>
        <w:t>th</w:t>
      </w:r>
      <w:r>
        <w:rPr>
          <w:rStyle w:val="normaltextrun"/>
          <w:rFonts w:ascii="Arial" w:hAnsi="Arial" w:cs="Arial"/>
          <w:b/>
          <w:bCs/>
          <w:color w:val="212121"/>
          <w:sz w:val="28"/>
          <w:szCs w:val="28"/>
        </w:rPr>
        <w:t>, 2023</w:t>
      </w:r>
    </w:p>
    <w:p w14:paraId="62C03C3F" w14:textId="7F2A3103" w:rsidR="0034059F" w:rsidRDefault="00EC0EF5" w:rsidP="00340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212121"/>
          <w:sz w:val="28"/>
          <w:szCs w:val="28"/>
        </w:rPr>
        <w:t xml:space="preserve">On </w:t>
      </w:r>
      <w:r w:rsidR="0034059F">
        <w:rPr>
          <w:rStyle w:val="normaltextrun"/>
          <w:rFonts w:ascii="Arial" w:hAnsi="Arial" w:cs="Arial"/>
          <w:b/>
          <w:bCs/>
          <w:color w:val="212121"/>
          <w:sz w:val="28"/>
          <w:szCs w:val="28"/>
        </w:rPr>
        <w:t xml:space="preserve">the </w:t>
      </w:r>
      <w:r>
        <w:rPr>
          <w:rStyle w:val="normaltextrun"/>
          <w:rFonts w:ascii="Arial" w:hAnsi="Arial" w:cs="Arial"/>
          <w:b/>
          <w:bCs/>
          <w:color w:val="212121"/>
          <w:sz w:val="28"/>
          <w:szCs w:val="28"/>
        </w:rPr>
        <w:t>proposed Green Rides rule</w:t>
      </w:r>
    </w:p>
    <w:p w14:paraId="0C332AA2" w14:textId="77777777" w:rsidR="00FD08E1" w:rsidRPr="007F7A6B" w:rsidRDefault="00FD08E1">
      <w:pPr>
        <w:rPr>
          <w:sz w:val="28"/>
          <w:szCs w:val="28"/>
        </w:rPr>
      </w:pPr>
    </w:p>
    <w:p w14:paraId="05E42C19" w14:textId="6DD4D7DE" w:rsidR="007F7A6B" w:rsidRPr="008E53A2" w:rsidRDefault="007F7A6B" w:rsidP="2349DF85">
      <w:pPr>
        <w:rPr>
          <w:sz w:val="28"/>
          <w:szCs w:val="28"/>
        </w:rPr>
      </w:pPr>
      <w:r w:rsidRPr="2CCD2941">
        <w:rPr>
          <w:sz w:val="28"/>
          <w:szCs w:val="28"/>
        </w:rPr>
        <w:t>NYLPI strongly supports the</w:t>
      </w:r>
      <w:r w:rsidR="5B8A5A6E" w:rsidRPr="2CCD2941">
        <w:rPr>
          <w:sz w:val="28"/>
          <w:szCs w:val="28"/>
        </w:rPr>
        <w:t xml:space="preserve"> </w:t>
      </w:r>
      <w:r w:rsidR="05901171" w:rsidRPr="2CCD2941">
        <w:rPr>
          <w:sz w:val="28"/>
          <w:szCs w:val="28"/>
        </w:rPr>
        <w:t>Taxi and Limousine Commission (TLC)</w:t>
      </w:r>
      <w:r w:rsidR="009F688C">
        <w:rPr>
          <w:sz w:val="28"/>
          <w:szCs w:val="28"/>
        </w:rPr>
        <w:t xml:space="preserve">’s goals of </w:t>
      </w:r>
      <w:r w:rsidRPr="2CCD2941">
        <w:rPr>
          <w:sz w:val="28"/>
          <w:szCs w:val="28"/>
        </w:rPr>
        <w:t>increas</w:t>
      </w:r>
      <w:r w:rsidR="009F688C">
        <w:rPr>
          <w:sz w:val="28"/>
          <w:szCs w:val="28"/>
        </w:rPr>
        <w:t xml:space="preserve">ing </w:t>
      </w:r>
      <w:r w:rsidRPr="2CCD2941">
        <w:rPr>
          <w:sz w:val="28"/>
          <w:szCs w:val="28"/>
        </w:rPr>
        <w:t xml:space="preserve">the accessibility of the for-hire-vehicle </w:t>
      </w:r>
      <w:r w:rsidR="00C7617D" w:rsidRPr="2CCD2941">
        <w:rPr>
          <w:sz w:val="28"/>
          <w:szCs w:val="28"/>
        </w:rPr>
        <w:t xml:space="preserve">(FHV) </w:t>
      </w:r>
      <w:r w:rsidRPr="2CCD2941">
        <w:rPr>
          <w:sz w:val="28"/>
          <w:szCs w:val="28"/>
        </w:rPr>
        <w:t>fleet</w:t>
      </w:r>
      <w:r w:rsidR="006A0140">
        <w:rPr>
          <w:sz w:val="28"/>
          <w:szCs w:val="28"/>
        </w:rPr>
        <w:t xml:space="preserve"> and </w:t>
      </w:r>
      <w:r w:rsidRPr="2CCD2941">
        <w:rPr>
          <w:sz w:val="28"/>
          <w:szCs w:val="28"/>
        </w:rPr>
        <w:t>rapidly transitioning to a 100% electric vehicle fleet by 2030.</w:t>
      </w:r>
      <w:r w:rsidR="008E53A2" w:rsidRPr="2CCD2941">
        <w:rPr>
          <w:sz w:val="28"/>
          <w:szCs w:val="28"/>
        </w:rPr>
        <w:t xml:space="preserve">  </w:t>
      </w:r>
      <w:r w:rsidR="6AF870CA" w:rsidRPr="2CCD2941">
        <w:rPr>
          <w:sz w:val="28"/>
          <w:szCs w:val="28"/>
        </w:rPr>
        <w:t xml:space="preserve">However, while </w:t>
      </w:r>
      <w:r w:rsidR="0A0838D3" w:rsidRPr="2CCD2941">
        <w:rPr>
          <w:sz w:val="28"/>
          <w:szCs w:val="28"/>
        </w:rPr>
        <w:t>t</w:t>
      </w:r>
      <w:r w:rsidRPr="2CCD2941">
        <w:rPr>
          <w:sz w:val="28"/>
          <w:szCs w:val="28"/>
        </w:rPr>
        <w:t xml:space="preserve">he proposed rules require </w:t>
      </w:r>
      <w:r w:rsidR="008E53A2" w:rsidRPr="2CCD2941">
        <w:rPr>
          <w:sz w:val="28"/>
          <w:szCs w:val="28"/>
        </w:rPr>
        <w:t>a</w:t>
      </w:r>
      <w:r w:rsidR="64A257A3" w:rsidRPr="2CCD2941">
        <w:rPr>
          <w:sz w:val="28"/>
          <w:szCs w:val="28"/>
        </w:rPr>
        <w:t>n</w:t>
      </w:r>
      <w:r w:rsidR="008E53A2" w:rsidRPr="2CCD2941">
        <w:rPr>
          <w:sz w:val="28"/>
          <w:szCs w:val="28"/>
        </w:rPr>
        <w:t xml:space="preserve"> increase in the number of trips </w:t>
      </w:r>
      <w:r w:rsidR="0DC21203" w:rsidRPr="2CCD2941">
        <w:rPr>
          <w:sz w:val="28"/>
          <w:szCs w:val="28"/>
        </w:rPr>
        <w:t>dispatched</w:t>
      </w:r>
      <w:r w:rsidR="008E53A2" w:rsidRPr="2CCD2941">
        <w:rPr>
          <w:sz w:val="28"/>
          <w:szCs w:val="28"/>
        </w:rPr>
        <w:t xml:space="preserve"> in </w:t>
      </w:r>
      <w:r w:rsidR="3D4B351C" w:rsidRPr="2CCD2941">
        <w:rPr>
          <w:sz w:val="28"/>
          <w:szCs w:val="28"/>
        </w:rPr>
        <w:t>Electric Vehicles (</w:t>
      </w:r>
      <w:r w:rsidR="008E53A2" w:rsidRPr="2CCD2941">
        <w:rPr>
          <w:sz w:val="28"/>
          <w:szCs w:val="28"/>
        </w:rPr>
        <w:t>EVs</w:t>
      </w:r>
      <w:r w:rsidR="00346534">
        <w:rPr>
          <w:sz w:val="28"/>
          <w:szCs w:val="28"/>
        </w:rPr>
        <w:t xml:space="preserve">), they do not </w:t>
      </w:r>
      <w:r w:rsidR="00AF16DC">
        <w:rPr>
          <w:sz w:val="28"/>
          <w:szCs w:val="28"/>
        </w:rPr>
        <w:t>require additional trips to be dispatched in Wheelchair Accessi</w:t>
      </w:r>
      <w:r w:rsidR="00A0193D">
        <w:rPr>
          <w:sz w:val="28"/>
          <w:szCs w:val="28"/>
        </w:rPr>
        <w:t>bl</w:t>
      </w:r>
      <w:r w:rsidR="00AF16DC">
        <w:rPr>
          <w:sz w:val="28"/>
          <w:szCs w:val="28"/>
        </w:rPr>
        <w:t xml:space="preserve">e Vehicles (WAVs) and </w:t>
      </w:r>
      <w:r w:rsidR="663E2804" w:rsidRPr="2CCD2941">
        <w:rPr>
          <w:sz w:val="28"/>
          <w:szCs w:val="28"/>
        </w:rPr>
        <w:t xml:space="preserve">we strongly oppose the </w:t>
      </w:r>
      <w:r w:rsidR="00E21BC7">
        <w:rPr>
          <w:sz w:val="28"/>
          <w:szCs w:val="28"/>
        </w:rPr>
        <w:t xml:space="preserve">approach of </w:t>
      </w:r>
      <w:r w:rsidR="663E2804" w:rsidRPr="2CCD2941">
        <w:rPr>
          <w:sz w:val="28"/>
          <w:szCs w:val="28"/>
        </w:rPr>
        <w:t>merely ensuring</w:t>
      </w:r>
      <w:r w:rsidR="008E53A2" w:rsidRPr="2CCD2941">
        <w:rPr>
          <w:sz w:val="28"/>
          <w:szCs w:val="28"/>
        </w:rPr>
        <w:t xml:space="preserve"> </w:t>
      </w:r>
      <w:r w:rsidRPr="2CCD2941">
        <w:rPr>
          <w:sz w:val="28"/>
          <w:szCs w:val="28"/>
        </w:rPr>
        <w:t xml:space="preserve">that by 2030, all rides dispatched by Uber and Lyft must be in a vehicle that is </w:t>
      </w:r>
      <w:r w:rsidRPr="2CCD2941">
        <w:rPr>
          <w:b/>
          <w:bCs/>
          <w:sz w:val="28"/>
          <w:szCs w:val="28"/>
        </w:rPr>
        <w:t xml:space="preserve">either </w:t>
      </w:r>
      <w:r w:rsidRPr="2CCD2941">
        <w:rPr>
          <w:sz w:val="28"/>
          <w:szCs w:val="28"/>
        </w:rPr>
        <w:t>an EV</w:t>
      </w:r>
      <w:r w:rsidRPr="2CCD2941">
        <w:rPr>
          <w:b/>
          <w:bCs/>
          <w:sz w:val="28"/>
          <w:szCs w:val="28"/>
        </w:rPr>
        <w:t xml:space="preserve"> or</w:t>
      </w:r>
      <w:r w:rsidRPr="2CCD2941">
        <w:rPr>
          <w:sz w:val="28"/>
          <w:szCs w:val="28"/>
        </w:rPr>
        <w:t xml:space="preserve"> a WAV.</w:t>
      </w:r>
    </w:p>
    <w:p w14:paraId="6B67A883" w14:textId="12A03076" w:rsidR="007F7A6B" w:rsidRDefault="00E21BC7" w:rsidP="007F7A6B">
      <w:pPr>
        <w:rPr>
          <w:sz w:val="28"/>
          <w:szCs w:val="28"/>
        </w:rPr>
      </w:pPr>
      <w:r>
        <w:rPr>
          <w:sz w:val="28"/>
          <w:szCs w:val="28"/>
        </w:rPr>
        <w:t>Instead, we urg</w:t>
      </w:r>
      <w:r w:rsidR="00FC6EC6">
        <w:rPr>
          <w:sz w:val="28"/>
          <w:szCs w:val="28"/>
        </w:rPr>
        <w:t>e</w:t>
      </w:r>
      <w:r w:rsidR="00273576">
        <w:rPr>
          <w:sz w:val="28"/>
          <w:szCs w:val="28"/>
        </w:rPr>
        <w:t xml:space="preserve"> the </w:t>
      </w:r>
      <w:r w:rsidR="007F7A6B" w:rsidRPr="2CCD2941">
        <w:rPr>
          <w:sz w:val="28"/>
          <w:szCs w:val="28"/>
        </w:rPr>
        <w:t xml:space="preserve">City to support the development and rapid adoption of vehicles that are </w:t>
      </w:r>
      <w:r w:rsidR="007F7A6B" w:rsidRPr="2CCD2941">
        <w:rPr>
          <w:b/>
          <w:bCs/>
          <w:sz w:val="28"/>
          <w:szCs w:val="28"/>
        </w:rPr>
        <w:t xml:space="preserve">both </w:t>
      </w:r>
      <w:r w:rsidR="007F7A6B" w:rsidRPr="2CCD2941">
        <w:rPr>
          <w:sz w:val="28"/>
          <w:szCs w:val="28"/>
        </w:rPr>
        <w:t xml:space="preserve">fully accessible </w:t>
      </w:r>
      <w:r w:rsidR="007F7A6B" w:rsidRPr="00273576">
        <w:rPr>
          <w:b/>
          <w:bCs/>
          <w:sz w:val="28"/>
          <w:szCs w:val="28"/>
        </w:rPr>
        <w:t>and</w:t>
      </w:r>
      <w:r w:rsidR="007F7A6B" w:rsidRPr="2CCD2941">
        <w:rPr>
          <w:sz w:val="28"/>
          <w:szCs w:val="28"/>
        </w:rPr>
        <w:t xml:space="preserve"> zero-emissions.  </w:t>
      </w:r>
    </w:p>
    <w:p w14:paraId="129C8544" w14:textId="49E2468A" w:rsidR="000F0FF2" w:rsidRPr="000F0FF2" w:rsidRDefault="00846F68" w:rsidP="7B21AD21">
      <w:pPr>
        <w:rPr>
          <w:sz w:val="28"/>
          <w:szCs w:val="28"/>
        </w:rPr>
      </w:pPr>
      <w:r w:rsidRPr="2CCD2941">
        <w:rPr>
          <w:sz w:val="28"/>
          <w:szCs w:val="28"/>
        </w:rPr>
        <w:t>New York City is one of the largest markets for Uber and Lyft in the world, with a massive fleet of 95,000 for-hire-vehicles licensed by the TLC.</w:t>
      </w:r>
      <w:r w:rsidRPr="6419A41C">
        <w:rPr>
          <w:rStyle w:val="EndnoteReference"/>
          <w:sz w:val="28"/>
          <w:szCs w:val="28"/>
        </w:rPr>
        <w:endnoteReference w:id="2"/>
      </w:r>
      <w:r w:rsidRPr="2CCD2941">
        <w:rPr>
          <w:sz w:val="28"/>
          <w:szCs w:val="28"/>
        </w:rPr>
        <w:t xml:space="preserve">  Currently, only </w:t>
      </w:r>
      <w:hyperlink r:id="rId9">
        <w:r w:rsidRPr="6419A41C">
          <w:rPr>
            <w:sz w:val="28"/>
            <w:szCs w:val="28"/>
          </w:rPr>
          <w:t xml:space="preserve">3,736 of these </w:t>
        </w:r>
      </w:hyperlink>
      <w:r w:rsidRPr="6419A41C">
        <w:rPr>
          <w:sz w:val="28"/>
          <w:szCs w:val="28"/>
        </w:rPr>
        <w:t>vehicles are WAVs</w:t>
      </w:r>
      <w:r w:rsidRPr="2CCD2941">
        <w:rPr>
          <w:sz w:val="28"/>
          <w:szCs w:val="28"/>
        </w:rPr>
        <w:t>, and only 950 are zero-emissions.</w:t>
      </w:r>
      <w:r>
        <w:rPr>
          <w:rStyle w:val="EndnoteReference"/>
          <w:sz w:val="28"/>
          <w:szCs w:val="28"/>
        </w:rPr>
        <w:endnoteReference w:id="3"/>
      </w:r>
      <w:r>
        <w:rPr>
          <w:sz w:val="28"/>
          <w:szCs w:val="28"/>
        </w:rPr>
        <w:t xml:space="preserve">  </w:t>
      </w:r>
      <w:r w:rsidR="007F7A6B" w:rsidRPr="2CCD2941">
        <w:rPr>
          <w:sz w:val="28"/>
          <w:szCs w:val="28"/>
        </w:rPr>
        <w:t>Disparities in the availability</w:t>
      </w:r>
      <w:r w:rsidR="7C7BA1B2" w:rsidRPr="2CCD2941">
        <w:rPr>
          <w:sz w:val="28"/>
          <w:szCs w:val="28"/>
        </w:rPr>
        <w:t xml:space="preserve"> of WAVs – as well</w:t>
      </w:r>
      <w:r w:rsidR="007F7A6B" w:rsidRPr="2CCD2941">
        <w:rPr>
          <w:sz w:val="28"/>
          <w:szCs w:val="28"/>
        </w:rPr>
        <w:t xml:space="preserve"> </w:t>
      </w:r>
      <w:r w:rsidR="4105E7AD" w:rsidRPr="2CCD2941">
        <w:rPr>
          <w:sz w:val="28"/>
          <w:szCs w:val="28"/>
        </w:rPr>
        <w:t xml:space="preserve">as the </w:t>
      </w:r>
      <w:r w:rsidR="007F7A6B" w:rsidRPr="2CCD2941">
        <w:rPr>
          <w:sz w:val="28"/>
          <w:szCs w:val="28"/>
        </w:rPr>
        <w:t xml:space="preserve">response times of WAVs </w:t>
      </w:r>
      <w:r w:rsidR="0150CF53" w:rsidRPr="2CCD2941">
        <w:rPr>
          <w:sz w:val="28"/>
          <w:szCs w:val="28"/>
        </w:rPr>
        <w:t>--</w:t>
      </w:r>
      <w:r w:rsidR="007F7A6B" w:rsidRPr="2CCD2941">
        <w:rPr>
          <w:sz w:val="28"/>
          <w:szCs w:val="28"/>
        </w:rPr>
        <w:t xml:space="preserve"> continue to create </w:t>
      </w:r>
      <w:r>
        <w:rPr>
          <w:sz w:val="28"/>
          <w:szCs w:val="28"/>
        </w:rPr>
        <w:t xml:space="preserve">major, systemic </w:t>
      </w:r>
      <w:r w:rsidR="007F7A6B" w:rsidRPr="2CCD2941">
        <w:rPr>
          <w:sz w:val="28"/>
          <w:szCs w:val="28"/>
        </w:rPr>
        <w:t xml:space="preserve">barriers for </w:t>
      </w:r>
      <w:r w:rsidR="007F7A6B" w:rsidRPr="6419A41C">
        <w:rPr>
          <w:sz w:val="28"/>
          <w:szCs w:val="28"/>
        </w:rPr>
        <w:t>people with disabilities who use apps like Uber and Lyft, and who use the MTA’s Access-A-Ride program which uses FHVs</w:t>
      </w:r>
      <w:r>
        <w:rPr>
          <w:sz w:val="28"/>
          <w:szCs w:val="28"/>
        </w:rPr>
        <w:t>.</w:t>
      </w:r>
      <w:r w:rsidR="00772620">
        <w:rPr>
          <w:rStyle w:val="EndnoteReference"/>
          <w:sz w:val="28"/>
          <w:szCs w:val="28"/>
        </w:rPr>
        <w:endnoteReference w:id="4"/>
      </w:r>
      <w:r w:rsidR="007F7A6B" w:rsidRPr="2CCD2941">
        <w:rPr>
          <w:sz w:val="28"/>
          <w:szCs w:val="28"/>
        </w:rPr>
        <w:t xml:space="preserve"> </w:t>
      </w:r>
    </w:p>
    <w:p w14:paraId="0156598E" w14:textId="3F2E0376" w:rsidR="000F0FF2" w:rsidRPr="000F0FF2" w:rsidRDefault="525A346D" w:rsidP="7B21AD21">
      <w:pPr>
        <w:rPr>
          <w:sz w:val="28"/>
          <w:szCs w:val="28"/>
        </w:rPr>
      </w:pPr>
      <w:r w:rsidRPr="2CCD2941">
        <w:rPr>
          <w:sz w:val="28"/>
          <w:szCs w:val="28"/>
        </w:rPr>
        <w:t>H</w:t>
      </w:r>
      <w:r w:rsidR="166E2055" w:rsidRPr="2CCD2941">
        <w:rPr>
          <w:sz w:val="28"/>
          <w:szCs w:val="28"/>
        </w:rPr>
        <w:t>undreds of millions of fo</w:t>
      </w:r>
      <w:r w:rsidR="55130586" w:rsidRPr="2CCD2941">
        <w:rPr>
          <w:sz w:val="28"/>
          <w:szCs w:val="28"/>
        </w:rPr>
        <w:t xml:space="preserve">r-hire </w:t>
      </w:r>
      <w:r w:rsidR="000F0FF2" w:rsidRPr="2CCD2941">
        <w:rPr>
          <w:sz w:val="28"/>
          <w:szCs w:val="28"/>
        </w:rPr>
        <w:t>combustion vehicle</w:t>
      </w:r>
      <w:r w:rsidR="36311D6E" w:rsidRPr="2CCD2941">
        <w:rPr>
          <w:sz w:val="28"/>
          <w:szCs w:val="28"/>
        </w:rPr>
        <w:t xml:space="preserve"> trip</w:t>
      </w:r>
      <w:r w:rsidR="000F0FF2" w:rsidRPr="2CCD2941">
        <w:rPr>
          <w:sz w:val="28"/>
          <w:szCs w:val="28"/>
        </w:rPr>
        <w:t>s</w:t>
      </w:r>
      <w:r w:rsidR="15839007" w:rsidRPr="2CCD2941">
        <w:rPr>
          <w:sz w:val="28"/>
          <w:szCs w:val="28"/>
        </w:rPr>
        <w:t xml:space="preserve">, </w:t>
      </w:r>
      <w:r w:rsidR="26ADBB09" w:rsidRPr="2CCD2941">
        <w:rPr>
          <w:sz w:val="28"/>
          <w:szCs w:val="28"/>
        </w:rPr>
        <w:t xml:space="preserve">which </w:t>
      </w:r>
      <w:r w:rsidR="15839007" w:rsidRPr="2CCD2941">
        <w:rPr>
          <w:sz w:val="28"/>
          <w:szCs w:val="28"/>
        </w:rPr>
        <w:t>inclu</w:t>
      </w:r>
      <w:r w:rsidR="2AE1D997" w:rsidRPr="2CCD2941">
        <w:rPr>
          <w:sz w:val="28"/>
          <w:szCs w:val="28"/>
        </w:rPr>
        <w:t>d</w:t>
      </w:r>
      <w:r w:rsidR="12492848" w:rsidRPr="2CCD2941">
        <w:rPr>
          <w:sz w:val="28"/>
          <w:szCs w:val="28"/>
        </w:rPr>
        <w:t>e</w:t>
      </w:r>
      <w:r w:rsidR="000F0FF2" w:rsidRPr="2CCD2941">
        <w:rPr>
          <w:sz w:val="28"/>
          <w:szCs w:val="28"/>
        </w:rPr>
        <w:t xml:space="preserve"> driving, cruising for passengers, and idling on our streets</w:t>
      </w:r>
      <w:r w:rsidR="25E75335" w:rsidRPr="2CCD2941">
        <w:rPr>
          <w:sz w:val="28"/>
          <w:szCs w:val="28"/>
        </w:rPr>
        <w:t>,</w:t>
      </w:r>
      <w:r w:rsidR="000F0FF2" w:rsidRPr="2CCD2941">
        <w:rPr>
          <w:sz w:val="28"/>
          <w:szCs w:val="28"/>
        </w:rPr>
        <w:t xml:space="preserve"> are a major source of greenhouse gas emissions and harmful particulate matter and other pollutants.  Additionally, the </w:t>
      </w:r>
      <w:r w:rsidR="2ECD100E" w:rsidRPr="2CCD2941">
        <w:rPr>
          <w:sz w:val="28"/>
          <w:szCs w:val="28"/>
        </w:rPr>
        <w:t>production, refining, transportation, and delivery of gasoline and other fossil fuels</w:t>
      </w:r>
      <w:r w:rsidR="0C66C406" w:rsidRPr="2CCD2941">
        <w:rPr>
          <w:sz w:val="28"/>
          <w:szCs w:val="28"/>
        </w:rPr>
        <w:t xml:space="preserve"> for FHV use</w:t>
      </w:r>
      <w:r w:rsidR="2ECD100E" w:rsidRPr="2CCD2941">
        <w:rPr>
          <w:sz w:val="28"/>
          <w:szCs w:val="28"/>
        </w:rPr>
        <w:t xml:space="preserve"> is </w:t>
      </w:r>
      <w:r w:rsidR="348B3B2D" w:rsidRPr="2CCD2941">
        <w:rPr>
          <w:sz w:val="28"/>
          <w:szCs w:val="28"/>
        </w:rPr>
        <w:t xml:space="preserve">another </w:t>
      </w:r>
      <w:r w:rsidR="000F0FF2" w:rsidRPr="2CCD2941">
        <w:rPr>
          <w:sz w:val="28"/>
          <w:szCs w:val="28"/>
        </w:rPr>
        <w:t xml:space="preserve">major source of greenhouse gas </w:t>
      </w:r>
      <w:proofErr w:type="gramStart"/>
      <w:r w:rsidR="000F0FF2" w:rsidRPr="2CCD2941">
        <w:rPr>
          <w:sz w:val="28"/>
          <w:szCs w:val="28"/>
        </w:rPr>
        <w:t>emissions</w:t>
      </w:r>
      <w:proofErr w:type="gramEnd"/>
      <w:r w:rsidR="78023144" w:rsidRPr="2CCD2941">
        <w:rPr>
          <w:sz w:val="28"/>
          <w:szCs w:val="28"/>
        </w:rPr>
        <w:t>,</w:t>
      </w:r>
      <w:r w:rsidR="1E1D6F94" w:rsidRPr="2CCD2941">
        <w:rPr>
          <w:sz w:val="28"/>
          <w:szCs w:val="28"/>
        </w:rPr>
        <w:t xml:space="preserve"> </w:t>
      </w:r>
      <w:r w:rsidR="2209F927" w:rsidRPr="2CCD2941">
        <w:rPr>
          <w:sz w:val="28"/>
          <w:szCs w:val="28"/>
        </w:rPr>
        <w:t xml:space="preserve">as well as </w:t>
      </w:r>
      <w:r w:rsidR="1E1D6F94" w:rsidRPr="2CCD2941">
        <w:rPr>
          <w:sz w:val="28"/>
          <w:szCs w:val="28"/>
        </w:rPr>
        <w:t>air, soil</w:t>
      </w:r>
      <w:r w:rsidR="1931D623" w:rsidRPr="2CCD2941">
        <w:rPr>
          <w:sz w:val="28"/>
          <w:szCs w:val="28"/>
        </w:rPr>
        <w:t>,</w:t>
      </w:r>
      <w:r w:rsidR="1E1D6F94" w:rsidRPr="2CCD2941">
        <w:rPr>
          <w:sz w:val="28"/>
          <w:szCs w:val="28"/>
        </w:rPr>
        <w:t xml:space="preserve"> and </w:t>
      </w:r>
      <w:r w:rsidR="000F0FF2" w:rsidRPr="2CCD2941">
        <w:rPr>
          <w:sz w:val="28"/>
          <w:szCs w:val="28"/>
        </w:rPr>
        <w:t>water pollution</w:t>
      </w:r>
      <w:r w:rsidR="5754A3DD" w:rsidRPr="2CCD2941">
        <w:rPr>
          <w:sz w:val="28"/>
          <w:szCs w:val="28"/>
        </w:rPr>
        <w:t>.</w:t>
      </w:r>
      <w:r w:rsidR="000F0FF2" w:rsidRPr="2CCD2941">
        <w:rPr>
          <w:sz w:val="28"/>
          <w:szCs w:val="28"/>
        </w:rPr>
        <w:t xml:space="preserve"> </w:t>
      </w:r>
      <w:r w:rsidR="648CDA1E" w:rsidRPr="2CCD2941">
        <w:rPr>
          <w:sz w:val="28"/>
          <w:szCs w:val="28"/>
        </w:rPr>
        <w:t xml:space="preserve"> </w:t>
      </w:r>
      <w:r w:rsidR="74FFD03C" w:rsidRPr="2CCD2941">
        <w:rPr>
          <w:sz w:val="28"/>
          <w:szCs w:val="28"/>
        </w:rPr>
        <w:t>Moreover</w:t>
      </w:r>
      <w:r w:rsidR="00474A57">
        <w:rPr>
          <w:sz w:val="28"/>
          <w:szCs w:val="28"/>
        </w:rPr>
        <w:t xml:space="preserve">, fossil fuel facilities are </w:t>
      </w:r>
      <w:r w:rsidR="000F0FF2" w:rsidRPr="2CCD2941">
        <w:rPr>
          <w:sz w:val="28"/>
          <w:szCs w:val="28"/>
        </w:rPr>
        <w:t xml:space="preserve">heavily concentrated in environmental justice communities that </w:t>
      </w:r>
      <w:r w:rsidR="0F92F2AB" w:rsidRPr="2CCD2941">
        <w:rPr>
          <w:sz w:val="28"/>
          <w:szCs w:val="28"/>
        </w:rPr>
        <w:t xml:space="preserve">already </w:t>
      </w:r>
      <w:r w:rsidR="000F0FF2" w:rsidRPr="2CCD2941">
        <w:rPr>
          <w:sz w:val="28"/>
          <w:szCs w:val="28"/>
        </w:rPr>
        <w:t>disproportionate</w:t>
      </w:r>
      <w:r w:rsidR="47D14178" w:rsidRPr="2CCD2941">
        <w:rPr>
          <w:sz w:val="28"/>
          <w:szCs w:val="28"/>
        </w:rPr>
        <w:t>ly bear myriad other</w:t>
      </w:r>
      <w:r w:rsidR="000F0FF2" w:rsidRPr="2CCD2941">
        <w:rPr>
          <w:sz w:val="28"/>
          <w:szCs w:val="28"/>
        </w:rPr>
        <w:t xml:space="preserve"> negative impacts of pollution, climate change, and public health crises.   </w:t>
      </w:r>
    </w:p>
    <w:p w14:paraId="416E2402" w14:textId="72A8F4BF" w:rsidR="000F0FF2" w:rsidRPr="000F0FF2" w:rsidRDefault="5A80D282" w:rsidP="2349DF85">
      <w:pPr>
        <w:rPr>
          <w:sz w:val="28"/>
          <w:szCs w:val="28"/>
        </w:rPr>
      </w:pPr>
      <w:r w:rsidRPr="2CCD2941">
        <w:rPr>
          <w:sz w:val="28"/>
          <w:szCs w:val="28"/>
        </w:rPr>
        <w:lastRenderedPageBreak/>
        <w:t>I</w:t>
      </w:r>
      <w:r w:rsidR="77888FFE" w:rsidRPr="2CCD2941">
        <w:rPr>
          <w:sz w:val="28"/>
          <w:szCs w:val="28"/>
        </w:rPr>
        <w:t>f the benchmarks in the proposed rule are adopted</w:t>
      </w:r>
      <w:r w:rsidR="193218B7" w:rsidRPr="2CCD2941">
        <w:rPr>
          <w:sz w:val="28"/>
          <w:szCs w:val="28"/>
        </w:rPr>
        <w:t>,</w:t>
      </w:r>
      <w:r w:rsidR="77888FFE" w:rsidRPr="2CCD2941">
        <w:rPr>
          <w:sz w:val="28"/>
          <w:szCs w:val="28"/>
        </w:rPr>
        <w:t xml:space="preserve"> and larger national </w:t>
      </w:r>
      <w:r w:rsidR="5D4198FB" w:rsidRPr="2CCD2941">
        <w:rPr>
          <w:sz w:val="28"/>
          <w:szCs w:val="28"/>
        </w:rPr>
        <w:t xml:space="preserve">and state </w:t>
      </w:r>
      <w:r w:rsidR="77888FFE" w:rsidRPr="2CCD2941">
        <w:rPr>
          <w:sz w:val="28"/>
          <w:szCs w:val="28"/>
        </w:rPr>
        <w:t>trends toward vehicle ele</w:t>
      </w:r>
      <w:r w:rsidR="7DEF2662" w:rsidRPr="2CCD2941">
        <w:rPr>
          <w:sz w:val="28"/>
          <w:szCs w:val="28"/>
        </w:rPr>
        <w:t xml:space="preserve">ctrification continue, EVs will begin to rapidly displace combustion vehicles after 2027, and gas </w:t>
      </w:r>
      <w:r w:rsidR="3C940B94" w:rsidRPr="2CCD2941">
        <w:rPr>
          <w:sz w:val="28"/>
          <w:szCs w:val="28"/>
        </w:rPr>
        <w:t xml:space="preserve">stations </w:t>
      </w:r>
      <w:r w:rsidR="7DEF2662" w:rsidRPr="2CCD2941">
        <w:rPr>
          <w:sz w:val="28"/>
          <w:szCs w:val="28"/>
        </w:rPr>
        <w:t xml:space="preserve">and maintenance </w:t>
      </w:r>
      <w:r w:rsidR="5A8B635E" w:rsidRPr="2CCD2941">
        <w:rPr>
          <w:sz w:val="28"/>
          <w:szCs w:val="28"/>
        </w:rPr>
        <w:t xml:space="preserve">facilities </w:t>
      </w:r>
      <w:r w:rsidR="5C218B2B" w:rsidRPr="2CCD2941">
        <w:rPr>
          <w:sz w:val="28"/>
          <w:szCs w:val="28"/>
        </w:rPr>
        <w:t xml:space="preserve">will likely be replaced with </w:t>
      </w:r>
      <w:r w:rsidR="68895FBB" w:rsidRPr="2CCD2941">
        <w:rPr>
          <w:sz w:val="28"/>
          <w:szCs w:val="28"/>
        </w:rPr>
        <w:t xml:space="preserve">charging stations and other land uses. Without a plan to ensure that fully accessible EVs are part of this transition, people with disabilities </w:t>
      </w:r>
      <w:r w:rsidR="5AC26435" w:rsidRPr="2CCD2941">
        <w:rPr>
          <w:sz w:val="28"/>
          <w:szCs w:val="28"/>
        </w:rPr>
        <w:t>will</w:t>
      </w:r>
      <w:r w:rsidR="68895FBB" w:rsidRPr="2CCD2941">
        <w:rPr>
          <w:sz w:val="28"/>
          <w:szCs w:val="28"/>
        </w:rPr>
        <w:t xml:space="preserve"> again be left behind, </w:t>
      </w:r>
      <w:r w:rsidR="2D10A92F" w:rsidRPr="2CCD2941">
        <w:rPr>
          <w:sz w:val="28"/>
          <w:szCs w:val="28"/>
        </w:rPr>
        <w:t xml:space="preserve">forced to rely on </w:t>
      </w:r>
      <w:r w:rsidR="2A5A7392" w:rsidRPr="2CCD2941">
        <w:rPr>
          <w:sz w:val="28"/>
          <w:szCs w:val="28"/>
        </w:rPr>
        <w:t xml:space="preserve">older </w:t>
      </w:r>
      <w:r w:rsidR="23AA2E12" w:rsidRPr="2CCD2941">
        <w:rPr>
          <w:sz w:val="28"/>
          <w:szCs w:val="28"/>
        </w:rPr>
        <w:t xml:space="preserve">vehicle </w:t>
      </w:r>
      <w:r w:rsidR="472564B5" w:rsidRPr="2CCD2941">
        <w:rPr>
          <w:sz w:val="28"/>
          <w:szCs w:val="28"/>
        </w:rPr>
        <w:t xml:space="preserve">lacking </w:t>
      </w:r>
      <w:r w:rsidR="23AA2E12" w:rsidRPr="2CCD2941">
        <w:rPr>
          <w:sz w:val="28"/>
          <w:szCs w:val="28"/>
        </w:rPr>
        <w:t>safety features</w:t>
      </w:r>
      <w:r w:rsidR="1A40D8EF" w:rsidRPr="2CCD2941">
        <w:rPr>
          <w:sz w:val="28"/>
          <w:szCs w:val="28"/>
        </w:rPr>
        <w:t xml:space="preserve"> (</w:t>
      </w:r>
      <w:r w:rsidR="0C709B8C" w:rsidRPr="2CCD2941">
        <w:rPr>
          <w:sz w:val="28"/>
          <w:szCs w:val="28"/>
        </w:rPr>
        <w:t>such as</w:t>
      </w:r>
      <w:r w:rsidR="1A40D8EF" w:rsidRPr="2CCD2941">
        <w:rPr>
          <w:sz w:val="28"/>
          <w:szCs w:val="28"/>
        </w:rPr>
        <w:t xml:space="preserve"> cameras</w:t>
      </w:r>
      <w:r w:rsidR="006C52FB">
        <w:rPr>
          <w:sz w:val="28"/>
          <w:szCs w:val="28"/>
        </w:rPr>
        <w:t xml:space="preserve">, </w:t>
      </w:r>
      <w:r w:rsidR="1A40D8EF" w:rsidRPr="2CCD2941">
        <w:rPr>
          <w:sz w:val="28"/>
          <w:szCs w:val="28"/>
        </w:rPr>
        <w:t>lane change assist</w:t>
      </w:r>
      <w:r w:rsidR="006C52FB">
        <w:rPr>
          <w:sz w:val="28"/>
          <w:szCs w:val="28"/>
        </w:rPr>
        <w:t>, and automated driving technologies</w:t>
      </w:r>
      <w:r w:rsidR="1A40D8EF" w:rsidRPr="2CCD2941">
        <w:rPr>
          <w:sz w:val="28"/>
          <w:szCs w:val="28"/>
        </w:rPr>
        <w:t xml:space="preserve">) </w:t>
      </w:r>
      <w:r w:rsidR="00FE010B">
        <w:rPr>
          <w:sz w:val="28"/>
          <w:szCs w:val="28"/>
        </w:rPr>
        <w:t xml:space="preserve">with </w:t>
      </w:r>
      <w:r w:rsidR="1A40D8EF" w:rsidRPr="2CCD2941">
        <w:rPr>
          <w:sz w:val="28"/>
          <w:szCs w:val="28"/>
        </w:rPr>
        <w:t xml:space="preserve">inferior maintenance and reliability. </w:t>
      </w:r>
    </w:p>
    <w:p w14:paraId="7D3D71C5" w14:textId="35BF96DF" w:rsidR="007F7A6B" w:rsidRDefault="00FE010B">
      <w:pPr>
        <w:rPr>
          <w:sz w:val="28"/>
          <w:szCs w:val="28"/>
        </w:rPr>
      </w:pPr>
      <w:r>
        <w:rPr>
          <w:sz w:val="28"/>
          <w:szCs w:val="28"/>
        </w:rPr>
        <w:t xml:space="preserve">We don’t need to leave people with </w:t>
      </w:r>
      <w:r w:rsidR="003D757D">
        <w:rPr>
          <w:sz w:val="28"/>
          <w:szCs w:val="28"/>
        </w:rPr>
        <w:t>disabilities</w:t>
      </w:r>
      <w:r>
        <w:rPr>
          <w:sz w:val="28"/>
          <w:szCs w:val="28"/>
        </w:rPr>
        <w:t xml:space="preserve"> behind.  </w:t>
      </w:r>
      <w:r w:rsidR="0C709B8C" w:rsidRPr="2CCD2941">
        <w:rPr>
          <w:sz w:val="28"/>
          <w:szCs w:val="28"/>
        </w:rPr>
        <w:t xml:space="preserve">New </w:t>
      </w:r>
      <w:r w:rsidR="000F0FF2" w:rsidRPr="2CCD2941">
        <w:rPr>
          <w:sz w:val="28"/>
          <w:szCs w:val="28"/>
        </w:rPr>
        <w:t xml:space="preserve">York </w:t>
      </w:r>
      <w:r w:rsidR="1EEE1914" w:rsidRPr="2CCD2941">
        <w:rPr>
          <w:sz w:val="28"/>
          <w:szCs w:val="28"/>
        </w:rPr>
        <w:t>City</w:t>
      </w:r>
      <w:r w:rsidR="000F0FF2" w:rsidRPr="2CCD2941">
        <w:rPr>
          <w:sz w:val="28"/>
          <w:szCs w:val="28"/>
        </w:rPr>
        <w:t xml:space="preserve"> and State have an opportunity to </w:t>
      </w:r>
      <w:r w:rsidR="57D52DC1" w:rsidRPr="2CCD2941">
        <w:rPr>
          <w:sz w:val="28"/>
          <w:szCs w:val="28"/>
        </w:rPr>
        <w:t xml:space="preserve">be global leaders </w:t>
      </w:r>
      <w:r w:rsidR="000F0FF2" w:rsidRPr="2CCD2941">
        <w:rPr>
          <w:sz w:val="28"/>
          <w:szCs w:val="28"/>
        </w:rPr>
        <w:t xml:space="preserve">in facilitating the rapid development </w:t>
      </w:r>
      <w:r w:rsidR="008C0D4C">
        <w:rPr>
          <w:sz w:val="28"/>
          <w:szCs w:val="28"/>
        </w:rPr>
        <w:t xml:space="preserve">and adoption </w:t>
      </w:r>
      <w:r w:rsidR="000F0FF2" w:rsidRPr="2CCD2941">
        <w:rPr>
          <w:sz w:val="28"/>
          <w:szCs w:val="28"/>
        </w:rPr>
        <w:t xml:space="preserve">of fully accessible </w:t>
      </w:r>
      <w:r w:rsidR="5D6039EE" w:rsidRPr="00C3019F">
        <w:rPr>
          <w:b/>
          <w:bCs/>
          <w:sz w:val="28"/>
          <w:szCs w:val="28"/>
        </w:rPr>
        <w:t>and</w:t>
      </w:r>
      <w:r w:rsidR="5D6039EE" w:rsidRPr="2CCD2941">
        <w:rPr>
          <w:sz w:val="28"/>
          <w:szCs w:val="28"/>
        </w:rPr>
        <w:t xml:space="preserve"> fully </w:t>
      </w:r>
      <w:r w:rsidR="000F0FF2" w:rsidRPr="2CCD2941">
        <w:rPr>
          <w:sz w:val="28"/>
          <w:szCs w:val="28"/>
        </w:rPr>
        <w:t xml:space="preserve">electric vehicles and to </w:t>
      </w:r>
      <w:r w:rsidR="003E0294" w:rsidRPr="2CCD2941">
        <w:rPr>
          <w:sz w:val="28"/>
          <w:szCs w:val="28"/>
        </w:rPr>
        <w:t>ensure that FHV drivers can purchase and operate these vehicles at prices competitive with other WAVs and E</w:t>
      </w:r>
      <w:r w:rsidR="6FD21B98" w:rsidRPr="2CCD2941">
        <w:rPr>
          <w:sz w:val="28"/>
          <w:szCs w:val="28"/>
        </w:rPr>
        <w:t>V</w:t>
      </w:r>
      <w:r w:rsidR="003E0294" w:rsidRPr="2CCD2941">
        <w:rPr>
          <w:sz w:val="28"/>
          <w:szCs w:val="28"/>
        </w:rPr>
        <w:t xml:space="preserve">s.  </w:t>
      </w:r>
    </w:p>
    <w:p w14:paraId="774267EB" w14:textId="761463E3" w:rsidR="003E0294" w:rsidRDefault="003E0294" w:rsidP="00C3019F">
      <w:pPr>
        <w:rPr>
          <w:sz w:val="28"/>
          <w:szCs w:val="28"/>
        </w:rPr>
      </w:pPr>
      <w:r w:rsidRPr="2CCD2941">
        <w:rPr>
          <w:sz w:val="28"/>
          <w:szCs w:val="28"/>
        </w:rPr>
        <w:t xml:space="preserve">We urge </w:t>
      </w:r>
      <w:r w:rsidR="00FD08E1">
        <w:rPr>
          <w:sz w:val="28"/>
          <w:szCs w:val="28"/>
        </w:rPr>
        <w:t xml:space="preserve">the Mayor and the TLC </w:t>
      </w:r>
      <w:r w:rsidR="6BDC5BFE" w:rsidRPr="2CCD2941">
        <w:rPr>
          <w:sz w:val="28"/>
          <w:szCs w:val="28"/>
        </w:rPr>
        <w:t xml:space="preserve">to: </w:t>
      </w:r>
    </w:p>
    <w:p w14:paraId="7FE979F3" w14:textId="40AF22CE" w:rsidR="003E0294" w:rsidRDefault="4030682D" w:rsidP="7B21AD21">
      <w:pPr>
        <w:pStyle w:val="ListParagraph"/>
        <w:numPr>
          <w:ilvl w:val="0"/>
          <w:numId w:val="3"/>
        </w:numPr>
        <w:rPr>
          <w:sz w:val="28"/>
          <w:szCs w:val="28"/>
        </w:rPr>
      </w:pPr>
      <w:r w:rsidRPr="4030682D">
        <w:rPr>
          <w:sz w:val="28"/>
          <w:szCs w:val="28"/>
        </w:rPr>
        <w:t>Push for state legislation authorizing a surcharge on FHV trips that would subsidize the purchase and operation of fully accessible EVs as soon as they are on the market as well as necessary charging infrastructure.</w:t>
      </w:r>
      <w:r w:rsidR="00B40BA7">
        <w:br/>
      </w:r>
    </w:p>
    <w:p w14:paraId="0CE54798" w14:textId="4D4905BE" w:rsidR="00DF09B3" w:rsidRDefault="3A16765F" w:rsidP="00DF09B3">
      <w:pPr>
        <w:pStyle w:val="ListParagraph"/>
        <w:numPr>
          <w:ilvl w:val="0"/>
          <w:numId w:val="3"/>
        </w:numPr>
        <w:rPr>
          <w:sz w:val="28"/>
          <w:szCs w:val="28"/>
        </w:rPr>
      </w:pPr>
      <w:r w:rsidRPr="2CCD2941">
        <w:rPr>
          <w:sz w:val="28"/>
          <w:szCs w:val="28"/>
        </w:rPr>
        <w:t>T</w:t>
      </w:r>
      <w:r w:rsidR="003E0294" w:rsidRPr="2CCD2941">
        <w:rPr>
          <w:sz w:val="28"/>
          <w:szCs w:val="28"/>
        </w:rPr>
        <w:t>ake steps to incentivize the development and purchase of fully accessible EVs</w:t>
      </w:r>
      <w:r w:rsidR="00DF09B3" w:rsidRPr="2CCD2941">
        <w:rPr>
          <w:sz w:val="28"/>
          <w:szCs w:val="28"/>
        </w:rPr>
        <w:t xml:space="preserve"> </w:t>
      </w:r>
      <w:r w:rsidR="00CF4587">
        <w:rPr>
          <w:sz w:val="28"/>
          <w:szCs w:val="28"/>
        </w:rPr>
        <w:t xml:space="preserve">and send a strong </w:t>
      </w:r>
      <w:r w:rsidR="00DF09B3" w:rsidRPr="2CCD2941">
        <w:rPr>
          <w:sz w:val="28"/>
          <w:szCs w:val="28"/>
        </w:rPr>
        <w:t xml:space="preserve">signal to auto </w:t>
      </w:r>
      <w:r w:rsidR="25B0440D" w:rsidRPr="2CCD2941">
        <w:rPr>
          <w:sz w:val="28"/>
          <w:szCs w:val="28"/>
        </w:rPr>
        <w:t>manufacturers</w:t>
      </w:r>
      <w:r w:rsidR="00DF09B3" w:rsidRPr="2CCD2941">
        <w:rPr>
          <w:sz w:val="28"/>
          <w:szCs w:val="28"/>
        </w:rPr>
        <w:t xml:space="preserve"> </w:t>
      </w:r>
      <w:r w:rsidR="7D2D1675" w:rsidRPr="2CCD2941">
        <w:rPr>
          <w:sz w:val="28"/>
          <w:szCs w:val="28"/>
        </w:rPr>
        <w:t xml:space="preserve">and retrofitters </w:t>
      </w:r>
      <w:r w:rsidR="00DF09B3" w:rsidRPr="2CCD2941">
        <w:rPr>
          <w:sz w:val="28"/>
          <w:szCs w:val="28"/>
        </w:rPr>
        <w:t>that New York will provide a robust market for these models.</w:t>
      </w:r>
    </w:p>
    <w:p w14:paraId="27884DC4" w14:textId="77777777" w:rsidR="000E21ED" w:rsidRDefault="000E21ED" w:rsidP="0A44409D">
      <w:pPr>
        <w:pStyle w:val="ListParagraph"/>
        <w:rPr>
          <w:sz w:val="28"/>
          <w:szCs w:val="28"/>
        </w:rPr>
      </w:pPr>
    </w:p>
    <w:p w14:paraId="358D75A0" w14:textId="28AB32BB" w:rsidR="0004133D" w:rsidRDefault="40C71253" w:rsidP="00DF09B3">
      <w:pPr>
        <w:pStyle w:val="ListParagraph"/>
        <w:numPr>
          <w:ilvl w:val="0"/>
          <w:numId w:val="3"/>
        </w:numPr>
        <w:rPr>
          <w:sz w:val="28"/>
          <w:szCs w:val="28"/>
        </w:rPr>
      </w:pPr>
      <w:r w:rsidRPr="2CCD2941">
        <w:rPr>
          <w:sz w:val="28"/>
          <w:szCs w:val="28"/>
        </w:rPr>
        <w:t>A</w:t>
      </w:r>
      <w:r w:rsidR="000E21ED" w:rsidRPr="2CCD2941">
        <w:rPr>
          <w:sz w:val="28"/>
          <w:szCs w:val="28"/>
        </w:rPr>
        <w:t>dd a benchmark for the adoption of fully accessible EV</w:t>
      </w:r>
      <w:r w:rsidR="00FC6EC6">
        <w:rPr>
          <w:sz w:val="28"/>
          <w:szCs w:val="28"/>
        </w:rPr>
        <w:t>s.</w:t>
      </w:r>
      <w:r w:rsidR="000E21ED" w:rsidRPr="2CCD2941">
        <w:rPr>
          <w:sz w:val="28"/>
          <w:szCs w:val="28"/>
        </w:rPr>
        <w:t xml:space="preserve"> The TLC and other relevant City and State agencies should guarantee specific subsidies for drivers to purchase, lease and operate accessible EVs effective as soon as these vehicles are available.   These subsidies should be significantly higher than current state and federal subsidies for EV </w:t>
      </w:r>
      <w:r w:rsidR="5685B48C" w:rsidRPr="2CCD2941">
        <w:rPr>
          <w:sz w:val="28"/>
          <w:szCs w:val="28"/>
        </w:rPr>
        <w:t>purchases and</w:t>
      </w:r>
      <w:r w:rsidR="000E21ED" w:rsidRPr="2CCD2941">
        <w:rPr>
          <w:sz w:val="28"/>
          <w:szCs w:val="28"/>
        </w:rPr>
        <w:t xml:space="preserve"> should continue beyond the predicted 2027 price parity point for inaccessible EVs and combustion vehicles.</w:t>
      </w:r>
    </w:p>
    <w:p w14:paraId="3CD0CC90" w14:textId="203BF5BD" w:rsidR="008A45DA" w:rsidRPr="008A45DA" w:rsidRDefault="008A45DA" w:rsidP="008A45DA">
      <w:pPr>
        <w:pStyle w:val="ListParagraph"/>
        <w:rPr>
          <w:sz w:val="28"/>
          <w:szCs w:val="28"/>
        </w:rPr>
      </w:pPr>
    </w:p>
    <w:p w14:paraId="36B476CE" w14:textId="3A443E9C" w:rsidR="0022739B" w:rsidRDefault="526FED51" w:rsidP="003E0294">
      <w:pPr>
        <w:pStyle w:val="ListParagraph"/>
        <w:numPr>
          <w:ilvl w:val="0"/>
          <w:numId w:val="3"/>
        </w:numPr>
        <w:rPr>
          <w:sz w:val="28"/>
          <w:szCs w:val="28"/>
        </w:rPr>
      </w:pPr>
      <w:r w:rsidRPr="2CCD2941">
        <w:rPr>
          <w:sz w:val="28"/>
          <w:szCs w:val="28"/>
        </w:rPr>
        <w:t>W</w:t>
      </w:r>
      <w:r w:rsidR="0022739B" w:rsidRPr="2CCD2941">
        <w:rPr>
          <w:sz w:val="28"/>
          <w:szCs w:val="28"/>
        </w:rPr>
        <w:t xml:space="preserve">ork in concert with City and State agencies and energy developers to ensure that 100% </w:t>
      </w:r>
      <w:r w:rsidR="4266F8DA" w:rsidRPr="2CCD2941">
        <w:rPr>
          <w:sz w:val="28"/>
          <w:szCs w:val="28"/>
        </w:rPr>
        <w:t>renewable</w:t>
      </w:r>
      <w:r w:rsidR="0022739B" w:rsidRPr="2CCD2941">
        <w:rPr>
          <w:sz w:val="28"/>
          <w:szCs w:val="28"/>
        </w:rPr>
        <w:t xml:space="preserve"> energy sources and battery storage are rapidly expanded</w:t>
      </w:r>
      <w:r w:rsidR="57B07058" w:rsidRPr="2CCD2941">
        <w:rPr>
          <w:sz w:val="28"/>
          <w:szCs w:val="28"/>
        </w:rPr>
        <w:t xml:space="preserve"> </w:t>
      </w:r>
      <w:r w:rsidR="3EE5D3F1" w:rsidRPr="2CCD2941">
        <w:rPr>
          <w:sz w:val="28"/>
          <w:szCs w:val="28"/>
        </w:rPr>
        <w:t>as thousands of new EVs increase demand on the electrical grid</w:t>
      </w:r>
      <w:r w:rsidR="2DAFF7E6" w:rsidRPr="2CCD2941">
        <w:rPr>
          <w:sz w:val="28"/>
          <w:szCs w:val="28"/>
        </w:rPr>
        <w:t>,</w:t>
      </w:r>
      <w:r w:rsidR="57B07058" w:rsidRPr="2CCD2941">
        <w:rPr>
          <w:sz w:val="28"/>
          <w:szCs w:val="28"/>
        </w:rPr>
        <w:t xml:space="preserve"> while </w:t>
      </w:r>
      <w:r w:rsidR="0022739B" w:rsidRPr="2CCD2941">
        <w:rPr>
          <w:sz w:val="28"/>
          <w:szCs w:val="28"/>
        </w:rPr>
        <w:t>avoid</w:t>
      </w:r>
      <w:r w:rsidR="42FFA8D3" w:rsidRPr="2CCD2941">
        <w:rPr>
          <w:sz w:val="28"/>
          <w:szCs w:val="28"/>
        </w:rPr>
        <w:t>ing</w:t>
      </w:r>
      <w:r w:rsidR="0022739B" w:rsidRPr="2CCD2941">
        <w:rPr>
          <w:sz w:val="28"/>
          <w:szCs w:val="28"/>
        </w:rPr>
        <w:t xml:space="preserve"> prolo</w:t>
      </w:r>
      <w:r w:rsidR="0E7F197E" w:rsidRPr="2CCD2941">
        <w:rPr>
          <w:sz w:val="28"/>
          <w:szCs w:val="28"/>
        </w:rPr>
        <w:t>nged</w:t>
      </w:r>
      <w:r w:rsidR="0022739B" w:rsidRPr="2CCD2941">
        <w:rPr>
          <w:sz w:val="28"/>
          <w:szCs w:val="28"/>
        </w:rPr>
        <w:t xml:space="preserve"> reliance on highly polluting and expensive power fossil fuel plants including antiquated “</w:t>
      </w:r>
      <w:proofErr w:type="spellStart"/>
      <w:r w:rsidR="0022739B" w:rsidRPr="2CCD2941">
        <w:rPr>
          <w:sz w:val="28"/>
          <w:szCs w:val="28"/>
        </w:rPr>
        <w:t>peaker</w:t>
      </w:r>
      <w:proofErr w:type="spellEnd"/>
      <w:r w:rsidR="0022739B" w:rsidRPr="2CCD2941">
        <w:rPr>
          <w:sz w:val="28"/>
          <w:szCs w:val="28"/>
        </w:rPr>
        <w:t xml:space="preserve"> plants” that fire up during peak demand periods and are concentrated in environmental justice communities.  </w:t>
      </w:r>
    </w:p>
    <w:p w14:paraId="610F4D89" w14:textId="77777777" w:rsidR="008B26CB" w:rsidRPr="008B26CB" w:rsidRDefault="008B26CB" w:rsidP="008B26CB">
      <w:pPr>
        <w:pStyle w:val="ListParagraph"/>
        <w:rPr>
          <w:sz w:val="28"/>
          <w:szCs w:val="28"/>
        </w:rPr>
      </w:pPr>
    </w:p>
    <w:p w14:paraId="2EC89BD7" w14:textId="77777777" w:rsidR="008B26CB" w:rsidRDefault="008B26CB" w:rsidP="008B26CB">
      <w:pPr>
        <w:pStyle w:val="ListParagraph"/>
        <w:rPr>
          <w:sz w:val="28"/>
          <w:szCs w:val="28"/>
        </w:rPr>
      </w:pPr>
    </w:p>
    <w:p w14:paraId="1364FF6C" w14:textId="06A28E78" w:rsidR="35DF2FE1" w:rsidRDefault="05A97F85" w:rsidP="00C3019F">
      <w:pPr>
        <w:ind w:firstLine="720"/>
        <w:rPr>
          <w:sz w:val="28"/>
          <w:szCs w:val="28"/>
        </w:rPr>
      </w:pPr>
      <w:r w:rsidRPr="2CCD2941">
        <w:rPr>
          <w:sz w:val="28"/>
          <w:szCs w:val="28"/>
        </w:rPr>
        <w:lastRenderedPageBreak/>
        <w:t>Critical s</w:t>
      </w:r>
      <w:r w:rsidR="2BE44288" w:rsidRPr="2CCD2941">
        <w:rPr>
          <w:sz w:val="28"/>
          <w:szCs w:val="28"/>
        </w:rPr>
        <w:t xml:space="preserve">teps to advance environmental justice include:  </w:t>
      </w:r>
    </w:p>
    <w:p w14:paraId="458A2240" w14:textId="07D129AD" w:rsidR="35DF2FE1" w:rsidRDefault="00A43EBF" w:rsidP="2CCD2941">
      <w:pPr>
        <w:pStyle w:val="ListParagraph"/>
        <w:numPr>
          <w:ilvl w:val="1"/>
          <w:numId w:val="2"/>
        </w:numPr>
        <w:rPr>
          <w:sz w:val="28"/>
          <w:szCs w:val="28"/>
        </w:rPr>
      </w:pPr>
      <w:r w:rsidRPr="2CCD2941">
        <w:rPr>
          <w:sz w:val="28"/>
          <w:szCs w:val="28"/>
        </w:rPr>
        <w:t>Co-location of public vehicle chargers with local renewable energy sources</w:t>
      </w:r>
      <w:r w:rsidR="2634762F" w:rsidRPr="2CCD2941">
        <w:rPr>
          <w:sz w:val="28"/>
          <w:szCs w:val="28"/>
        </w:rPr>
        <w:t>, especially in disadvantaged communities where large numbers of FHV drivers live and work;</w:t>
      </w:r>
    </w:p>
    <w:p w14:paraId="60C0EA69" w14:textId="54EEB761" w:rsidR="35DF2FE1" w:rsidRDefault="167E7BE1" w:rsidP="2CCD2941">
      <w:pPr>
        <w:pStyle w:val="ListParagraph"/>
        <w:numPr>
          <w:ilvl w:val="1"/>
          <w:numId w:val="2"/>
        </w:numPr>
        <w:rPr>
          <w:sz w:val="28"/>
          <w:szCs w:val="28"/>
        </w:rPr>
      </w:pPr>
      <w:r w:rsidRPr="2CCD2941">
        <w:rPr>
          <w:sz w:val="28"/>
          <w:szCs w:val="28"/>
        </w:rPr>
        <w:t>S</w:t>
      </w:r>
      <w:r w:rsidR="00A43EBF" w:rsidRPr="2CCD2941">
        <w:rPr>
          <w:sz w:val="28"/>
          <w:szCs w:val="28"/>
        </w:rPr>
        <w:t>upport for community solar and energy storage projects in communities with large numbers of FHV licensees</w:t>
      </w:r>
      <w:r w:rsidR="18C857B4" w:rsidRPr="2CCD2941">
        <w:rPr>
          <w:sz w:val="28"/>
          <w:szCs w:val="28"/>
        </w:rPr>
        <w:t>; s</w:t>
      </w:r>
      <w:r w:rsidR="00A43EBF" w:rsidRPr="2CCD2941">
        <w:rPr>
          <w:sz w:val="28"/>
          <w:szCs w:val="28"/>
        </w:rPr>
        <w:t>upport for legislation to rapidly expand solar energy production on city-owned buildings</w:t>
      </w:r>
      <w:r w:rsidR="55BD93D8" w:rsidRPr="2CCD2941">
        <w:rPr>
          <w:sz w:val="28"/>
          <w:szCs w:val="28"/>
        </w:rPr>
        <w:t>; p</w:t>
      </w:r>
      <w:r w:rsidR="5B50031D" w:rsidRPr="2CCD2941">
        <w:rPr>
          <w:sz w:val="28"/>
          <w:szCs w:val="28"/>
        </w:rPr>
        <w:t xml:space="preserve">artnering </w:t>
      </w:r>
      <w:r w:rsidR="00A43EBF" w:rsidRPr="2CCD2941">
        <w:rPr>
          <w:sz w:val="28"/>
          <w:szCs w:val="28"/>
        </w:rPr>
        <w:t xml:space="preserve">with utility companies and regulators to heavily incentivize EV charging during </w:t>
      </w:r>
      <w:r w:rsidR="52F89737" w:rsidRPr="2CCD2941">
        <w:rPr>
          <w:sz w:val="28"/>
          <w:szCs w:val="28"/>
        </w:rPr>
        <w:t xml:space="preserve">nighttime and </w:t>
      </w:r>
      <w:r w:rsidR="00A43EBF" w:rsidRPr="2CCD2941">
        <w:rPr>
          <w:sz w:val="28"/>
          <w:szCs w:val="28"/>
        </w:rPr>
        <w:t>off-peak hours.</w:t>
      </w:r>
    </w:p>
    <w:p w14:paraId="50835600" w14:textId="2FF7D50C" w:rsidR="35DF2FE1" w:rsidRDefault="35DF2FE1" w:rsidP="2CCD2941">
      <w:pPr>
        <w:pStyle w:val="ListParagraph"/>
        <w:numPr>
          <w:ilvl w:val="1"/>
          <w:numId w:val="2"/>
        </w:numPr>
        <w:rPr>
          <w:sz w:val="28"/>
          <w:szCs w:val="28"/>
        </w:rPr>
      </w:pPr>
      <w:r w:rsidRPr="2CCD2941">
        <w:rPr>
          <w:sz w:val="28"/>
          <w:szCs w:val="28"/>
        </w:rPr>
        <w:t xml:space="preserve">Development of fast </w:t>
      </w:r>
      <w:r w:rsidR="79E97790" w:rsidRPr="2CCD2941">
        <w:rPr>
          <w:sz w:val="28"/>
          <w:szCs w:val="28"/>
        </w:rPr>
        <w:t>(Level 3) char</w:t>
      </w:r>
      <w:r w:rsidR="5120520E" w:rsidRPr="2CCD2941">
        <w:rPr>
          <w:sz w:val="28"/>
          <w:szCs w:val="28"/>
        </w:rPr>
        <w:t>g</w:t>
      </w:r>
      <w:r w:rsidR="79E97790" w:rsidRPr="2CCD2941">
        <w:rPr>
          <w:sz w:val="28"/>
          <w:szCs w:val="28"/>
        </w:rPr>
        <w:t xml:space="preserve">ing </w:t>
      </w:r>
      <w:r w:rsidRPr="2CCD2941">
        <w:rPr>
          <w:sz w:val="28"/>
          <w:szCs w:val="28"/>
        </w:rPr>
        <w:t xml:space="preserve">stations accessible to FHV drivers </w:t>
      </w:r>
      <w:r w:rsidR="79814F40" w:rsidRPr="2CCD2941">
        <w:rPr>
          <w:sz w:val="28"/>
          <w:szCs w:val="28"/>
        </w:rPr>
        <w:t>during their shifts</w:t>
      </w:r>
      <w:r w:rsidRPr="2CCD2941">
        <w:rPr>
          <w:sz w:val="28"/>
          <w:szCs w:val="28"/>
        </w:rPr>
        <w:t xml:space="preserve"> to </w:t>
      </w:r>
      <w:r w:rsidR="78B1F987" w:rsidRPr="2CCD2941">
        <w:rPr>
          <w:sz w:val="28"/>
          <w:szCs w:val="28"/>
        </w:rPr>
        <w:t xml:space="preserve">minimize lost income for drivers waiting to recharge, and to </w:t>
      </w:r>
      <w:r w:rsidR="3B44925F" w:rsidRPr="2CCD2941">
        <w:rPr>
          <w:sz w:val="28"/>
          <w:szCs w:val="28"/>
        </w:rPr>
        <w:t xml:space="preserve">maximize </w:t>
      </w:r>
      <w:r w:rsidR="70CCAB8F" w:rsidRPr="2CCD2941">
        <w:rPr>
          <w:sz w:val="28"/>
          <w:szCs w:val="28"/>
        </w:rPr>
        <w:t>the availability of fully accessible EVs as these vehicles enter the fleet.</w:t>
      </w:r>
    </w:p>
    <w:p w14:paraId="00B3C6A5" w14:textId="77777777" w:rsidR="00876DFB" w:rsidRDefault="00876DFB" w:rsidP="00434D76">
      <w:pPr>
        <w:rPr>
          <w:sz w:val="28"/>
          <w:szCs w:val="28"/>
        </w:rPr>
      </w:pPr>
    </w:p>
    <w:p w14:paraId="1D2FACC8" w14:textId="77EAD630" w:rsidR="00771A9A" w:rsidRDefault="00B54D64" w:rsidP="00434D76">
      <w:pPr>
        <w:rPr>
          <w:sz w:val="28"/>
          <w:szCs w:val="28"/>
        </w:rPr>
      </w:pPr>
      <w:r>
        <w:rPr>
          <w:sz w:val="28"/>
          <w:szCs w:val="28"/>
        </w:rPr>
        <w:t xml:space="preserve">Almost one </w:t>
      </w:r>
      <w:r w:rsidR="001D3035">
        <w:rPr>
          <w:sz w:val="28"/>
          <w:szCs w:val="28"/>
        </w:rPr>
        <w:t>million New Yorkers have a disability</w:t>
      </w:r>
      <w:r w:rsidR="0093396E">
        <w:rPr>
          <w:sz w:val="28"/>
          <w:szCs w:val="28"/>
        </w:rPr>
        <w:t>,</w:t>
      </w:r>
      <w:r w:rsidR="00BE7D72">
        <w:rPr>
          <w:rStyle w:val="EndnoteReference"/>
          <w:sz w:val="28"/>
          <w:szCs w:val="28"/>
        </w:rPr>
        <w:endnoteReference w:id="5"/>
      </w:r>
      <w:r w:rsidR="0093396E">
        <w:rPr>
          <w:sz w:val="28"/>
          <w:szCs w:val="28"/>
        </w:rPr>
        <w:t xml:space="preserve"> and many face heightened </w:t>
      </w:r>
      <w:r w:rsidR="00CE7E8F">
        <w:rPr>
          <w:sz w:val="28"/>
          <w:szCs w:val="28"/>
        </w:rPr>
        <w:t xml:space="preserve">risks from </w:t>
      </w:r>
      <w:r w:rsidR="009A6548">
        <w:rPr>
          <w:sz w:val="28"/>
          <w:szCs w:val="28"/>
        </w:rPr>
        <w:t xml:space="preserve">extreme heat, air pollution, flooding, and </w:t>
      </w:r>
      <w:r w:rsidR="00233E99">
        <w:rPr>
          <w:sz w:val="28"/>
          <w:szCs w:val="28"/>
        </w:rPr>
        <w:t xml:space="preserve">economic crises caused by </w:t>
      </w:r>
      <w:r w:rsidR="00CE7E8F">
        <w:rPr>
          <w:sz w:val="28"/>
          <w:szCs w:val="28"/>
        </w:rPr>
        <w:t>spiraling climate</w:t>
      </w:r>
      <w:r w:rsidR="00233E99">
        <w:rPr>
          <w:sz w:val="28"/>
          <w:szCs w:val="28"/>
        </w:rPr>
        <w:t xml:space="preserve"> change</w:t>
      </w:r>
      <w:r w:rsidR="00BE7D72">
        <w:rPr>
          <w:sz w:val="28"/>
          <w:szCs w:val="28"/>
        </w:rPr>
        <w:t>.</w:t>
      </w:r>
      <w:r w:rsidR="0092767D">
        <w:rPr>
          <w:rStyle w:val="EndnoteReference"/>
          <w:sz w:val="28"/>
          <w:szCs w:val="28"/>
        </w:rPr>
        <w:endnoteReference w:id="6"/>
      </w:r>
      <w:r w:rsidR="00BE7D72">
        <w:rPr>
          <w:sz w:val="28"/>
          <w:szCs w:val="28"/>
        </w:rPr>
        <w:t xml:space="preserve"> </w:t>
      </w:r>
      <w:r w:rsidR="00B35D27">
        <w:rPr>
          <w:sz w:val="28"/>
          <w:szCs w:val="28"/>
        </w:rPr>
        <w:t xml:space="preserve">  </w:t>
      </w:r>
      <w:r w:rsidR="00C336AA">
        <w:rPr>
          <w:sz w:val="28"/>
          <w:szCs w:val="28"/>
        </w:rPr>
        <w:t xml:space="preserve">It is critical that New York fully include people with disabilities in the rapid transition to a more sustainable transportation system, including an all-electric fleet of </w:t>
      </w:r>
      <w:r w:rsidR="0091115C">
        <w:rPr>
          <w:sz w:val="28"/>
          <w:szCs w:val="28"/>
        </w:rPr>
        <w:t xml:space="preserve">For Hire Vehicles and taxis.  We </w:t>
      </w:r>
      <w:r w:rsidR="00DA37FB">
        <w:rPr>
          <w:sz w:val="28"/>
          <w:szCs w:val="28"/>
        </w:rPr>
        <w:t xml:space="preserve">urge you to amend the proposed rule </w:t>
      </w:r>
      <w:r w:rsidR="0091115C">
        <w:rPr>
          <w:sz w:val="28"/>
          <w:szCs w:val="28"/>
        </w:rPr>
        <w:t xml:space="preserve">and make New York City a global leader in adopting fully accessible </w:t>
      </w:r>
      <w:r w:rsidR="00771A9A">
        <w:rPr>
          <w:sz w:val="28"/>
          <w:szCs w:val="28"/>
        </w:rPr>
        <w:t xml:space="preserve">electric vehicles.  </w:t>
      </w:r>
    </w:p>
    <w:p w14:paraId="43EB3F54" w14:textId="4EB6E075" w:rsidR="00771A9A" w:rsidRDefault="00771A9A" w:rsidP="00434D76">
      <w:pPr>
        <w:rPr>
          <w:sz w:val="28"/>
          <w:szCs w:val="28"/>
        </w:rPr>
      </w:pPr>
      <w:r>
        <w:rPr>
          <w:sz w:val="28"/>
          <w:szCs w:val="28"/>
        </w:rPr>
        <w:t xml:space="preserve">We look forward to working with you to amend and implement these policies.  </w:t>
      </w:r>
    </w:p>
    <w:p w14:paraId="7F27C9A0" w14:textId="77777777" w:rsidR="00DA37FB" w:rsidRDefault="00DA37FB" w:rsidP="00434D76">
      <w:pPr>
        <w:rPr>
          <w:sz w:val="28"/>
          <w:szCs w:val="28"/>
        </w:rPr>
      </w:pPr>
    </w:p>
    <w:p w14:paraId="5ED640D5" w14:textId="77777777" w:rsidR="00876DFB" w:rsidRDefault="00876DFB" w:rsidP="00876DF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12121"/>
          <w:sz w:val="28"/>
          <w:szCs w:val="28"/>
        </w:rPr>
        <w:t> </w:t>
      </w:r>
    </w:p>
    <w:p w14:paraId="277582C0" w14:textId="77777777" w:rsidR="00876DFB" w:rsidRDefault="00876DFB" w:rsidP="00876DFB">
      <w:pPr>
        <w:pStyle w:val="paragraph"/>
        <w:spacing w:before="0" w:beforeAutospacing="0" w:after="0" w:afterAutospacing="0"/>
        <w:textAlignment w:val="baseline"/>
        <w:rPr>
          <w:rStyle w:val="normaltextrun"/>
          <w:rFonts w:ascii="Arial" w:hAnsi="Arial" w:cs="Arial"/>
          <w:b/>
          <w:bCs/>
          <w:color w:val="212121"/>
          <w:sz w:val="28"/>
          <w:szCs w:val="28"/>
        </w:rPr>
      </w:pPr>
      <w:r>
        <w:rPr>
          <w:rStyle w:val="normaltextrun"/>
          <w:rFonts w:ascii="Arial" w:hAnsi="Arial" w:cs="Arial"/>
          <w:b/>
          <w:bCs/>
          <w:color w:val="212121"/>
          <w:sz w:val="28"/>
          <w:szCs w:val="28"/>
        </w:rPr>
        <w:t>Justin Wood</w:t>
      </w:r>
    </w:p>
    <w:p w14:paraId="5C820D75" w14:textId="6820B177" w:rsidR="00876DFB" w:rsidRDefault="00876DFB" w:rsidP="00876DF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12121"/>
          <w:sz w:val="28"/>
          <w:szCs w:val="28"/>
        </w:rPr>
        <w:t xml:space="preserve">Director of Policy </w:t>
      </w:r>
    </w:p>
    <w:p w14:paraId="044B38CB" w14:textId="77777777" w:rsidR="00876DFB" w:rsidRDefault="00876DFB" w:rsidP="00876DF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12121"/>
          <w:sz w:val="28"/>
          <w:szCs w:val="28"/>
        </w:rPr>
        <w:t>New York Lawyers for the Public Interest</w:t>
      </w:r>
      <w:r>
        <w:rPr>
          <w:rStyle w:val="eop"/>
          <w:rFonts w:ascii="Arial" w:hAnsi="Arial" w:cs="Arial"/>
          <w:color w:val="212121"/>
          <w:sz w:val="28"/>
          <w:szCs w:val="28"/>
        </w:rPr>
        <w:t> </w:t>
      </w:r>
    </w:p>
    <w:p w14:paraId="54CE7DD1" w14:textId="77777777" w:rsidR="00876DFB" w:rsidRDefault="00876DFB" w:rsidP="00876DF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12121"/>
          <w:sz w:val="28"/>
          <w:szCs w:val="28"/>
        </w:rPr>
        <w:t>151 West 30</w:t>
      </w:r>
      <w:r>
        <w:rPr>
          <w:rStyle w:val="normaltextrun"/>
          <w:rFonts w:ascii="Arial" w:hAnsi="Arial" w:cs="Arial"/>
          <w:b/>
          <w:bCs/>
          <w:color w:val="212121"/>
          <w:sz w:val="22"/>
          <w:szCs w:val="22"/>
          <w:vertAlign w:val="superscript"/>
        </w:rPr>
        <w:t>th</w:t>
      </w:r>
      <w:r>
        <w:rPr>
          <w:rStyle w:val="normaltextrun"/>
          <w:rFonts w:ascii="Arial" w:hAnsi="Arial" w:cs="Arial"/>
          <w:b/>
          <w:bCs/>
          <w:color w:val="212121"/>
          <w:sz w:val="28"/>
          <w:szCs w:val="28"/>
        </w:rPr>
        <w:t xml:space="preserve"> Street, 11</w:t>
      </w:r>
      <w:r>
        <w:rPr>
          <w:rStyle w:val="normaltextrun"/>
          <w:rFonts w:ascii="Arial" w:hAnsi="Arial" w:cs="Arial"/>
          <w:b/>
          <w:bCs/>
          <w:color w:val="212121"/>
          <w:sz w:val="22"/>
          <w:szCs w:val="22"/>
          <w:vertAlign w:val="superscript"/>
        </w:rPr>
        <w:t>th</w:t>
      </w:r>
      <w:r>
        <w:rPr>
          <w:rStyle w:val="normaltextrun"/>
          <w:rFonts w:ascii="Arial" w:hAnsi="Arial" w:cs="Arial"/>
          <w:b/>
          <w:bCs/>
          <w:color w:val="212121"/>
          <w:sz w:val="28"/>
          <w:szCs w:val="28"/>
        </w:rPr>
        <w:t xml:space="preserve"> floor</w:t>
      </w:r>
      <w:r>
        <w:rPr>
          <w:rStyle w:val="eop"/>
          <w:rFonts w:ascii="Arial" w:hAnsi="Arial" w:cs="Arial"/>
          <w:color w:val="212121"/>
          <w:sz w:val="28"/>
          <w:szCs w:val="28"/>
        </w:rPr>
        <w:t> </w:t>
      </w:r>
    </w:p>
    <w:p w14:paraId="285E6535" w14:textId="0DD27D61" w:rsidR="00876DFB" w:rsidRDefault="00876DFB" w:rsidP="00876DFB">
      <w:pPr>
        <w:pStyle w:val="paragraph"/>
        <w:spacing w:before="0" w:beforeAutospacing="0" w:after="0" w:afterAutospacing="0"/>
        <w:textAlignment w:val="baseline"/>
        <w:rPr>
          <w:rStyle w:val="normaltextrun"/>
          <w:rFonts w:ascii="Arial" w:hAnsi="Arial" w:cs="Arial"/>
          <w:b/>
          <w:bCs/>
          <w:color w:val="212121"/>
          <w:sz w:val="28"/>
          <w:szCs w:val="28"/>
        </w:rPr>
      </w:pPr>
      <w:r>
        <w:rPr>
          <w:rStyle w:val="normaltextrun"/>
          <w:rFonts w:ascii="Arial" w:hAnsi="Arial" w:cs="Arial"/>
          <w:b/>
          <w:bCs/>
          <w:color w:val="212121"/>
          <w:sz w:val="28"/>
          <w:szCs w:val="28"/>
        </w:rPr>
        <w:t>New York, NY  10001</w:t>
      </w:r>
    </w:p>
    <w:p w14:paraId="01545CBC" w14:textId="462B2D8B" w:rsidR="00876DFB" w:rsidRDefault="00876DFB" w:rsidP="00876DF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12121"/>
          <w:sz w:val="28"/>
          <w:szCs w:val="28"/>
        </w:rPr>
        <w:t>jwood@nylpi.org</w:t>
      </w:r>
    </w:p>
    <w:p w14:paraId="5D90A98E" w14:textId="2C2C236B" w:rsidR="00876DFB" w:rsidRDefault="00876DFB" w:rsidP="00876DFB">
      <w:pPr>
        <w:pStyle w:val="paragraph"/>
        <w:spacing w:before="0" w:beforeAutospacing="0" w:after="0" w:afterAutospacing="0"/>
        <w:textAlignment w:val="baseline"/>
        <w:rPr>
          <w:rStyle w:val="eop"/>
          <w:rFonts w:ascii="Arial" w:hAnsi="Arial" w:cs="Arial"/>
          <w:color w:val="212121"/>
          <w:sz w:val="28"/>
          <w:szCs w:val="28"/>
        </w:rPr>
      </w:pPr>
      <w:r>
        <w:rPr>
          <w:rStyle w:val="normaltextrun"/>
          <w:rFonts w:ascii="Arial" w:hAnsi="Arial" w:cs="Arial"/>
          <w:b/>
          <w:bCs/>
          <w:color w:val="212121"/>
          <w:sz w:val="28"/>
          <w:szCs w:val="28"/>
        </w:rPr>
        <w:t>(212) 244-4664</w:t>
      </w:r>
      <w:r>
        <w:rPr>
          <w:rStyle w:val="eop"/>
          <w:rFonts w:ascii="Arial" w:hAnsi="Arial" w:cs="Arial"/>
          <w:color w:val="212121"/>
          <w:sz w:val="28"/>
          <w:szCs w:val="28"/>
        </w:rPr>
        <w:t> </w:t>
      </w:r>
    </w:p>
    <w:p w14:paraId="34578A0D" w14:textId="3B8E4B0D" w:rsidR="004D4E61" w:rsidRDefault="004D4E61" w:rsidP="00876DFB">
      <w:pPr>
        <w:pStyle w:val="paragraph"/>
        <w:spacing w:before="0" w:beforeAutospacing="0" w:after="0" w:afterAutospacing="0"/>
        <w:textAlignment w:val="baseline"/>
        <w:rPr>
          <w:rStyle w:val="eop"/>
          <w:rFonts w:ascii="Arial" w:hAnsi="Arial" w:cs="Arial"/>
          <w:color w:val="212121"/>
          <w:sz w:val="28"/>
          <w:szCs w:val="28"/>
        </w:rPr>
      </w:pPr>
    </w:p>
    <w:p w14:paraId="5CE20ABC" w14:textId="66C2C668" w:rsidR="004D4E61" w:rsidRDefault="004D4E61" w:rsidP="00876DFB">
      <w:pPr>
        <w:pStyle w:val="paragraph"/>
        <w:spacing w:before="0" w:beforeAutospacing="0" w:after="0" w:afterAutospacing="0"/>
        <w:textAlignment w:val="baseline"/>
        <w:rPr>
          <w:rStyle w:val="eop"/>
          <w:rFonts w:ascii="Arial" w:hAnsi="Arial" w:cs="Arial"/>
          <w:color w:val="212121"/>
          <w:sz w:val="28"/>
          <w:szCs w:val="28"/>
        </w:rPr>
      </w:pPr>
    </w:p>
    <w:p w14:paraId="3DF84CB7" w14:textId="77777777" w:rsidR="00477F08" w:rsidRDefault="004D4E61" w:rsidP="00477F08">
      <w:pPr>
        <w:rPr>
          <w:rStyle w:val="eop"/>
          <w:rFonts w:ascii="Arial" w:hAnsi="Arial" w:cs="Arial"/>
          <w:b/>
          <w:bCs/>
          <w:color w:val="212121"/>
          <w:sz w:val="28"/>
          <w:szCs w:val="28"/>
        </w:rPr>
      </w:pPr>
      <w:r>
        <w:rPr>
          <w:rStyle w:val="eop"/>
          <w:rFonts w:ascii="Arial" w:hAnsi="Arial" w:cs="Arial"/>
          <w:b/>
          <w:bCs/>
          <w:color w:val="212121"/>
          <w:sz w:val="28"/>
          <w:szCs w:val="28"/>
        </w:rPr>
        <w:t xml:space="preserve">About NYLPI:  </w:t>
      </w:r>
    </w:p>
    <w:p w14:paraId="1D6DC9A3" w14:textId="42C960B6" w:rsidR="00477F08" w:rsidRPr="00477F08" w:rsidRDefault="00DC4164" w:rsidP="00477F08">
      <w:pPr>
        <w:rPr>
          <w:rFonts w:ascii="ProximaNova-Regular" w:eastAsia="Times New Roman" w:hAnsi="ProximaNova-Regular" w:cs="Times New Roman"/>
          <w:i/>
          <w:iCs/>
          <w:color w:val="000000"/>
          <w:kern w:val="0"/>
          <w:sz w:val="27"/>
          <w:szCs w:val="27"/>
          <w:shd w:val="clear" w:color="auto" w:fill="FFFFFF"/>
          <w14:ligatures w14:val="none"/>
        </w:rPr>
      </w:pPr>
      <w:r w:rsidRPr="00477F08">
        <w:rPr>
          <w:rFonts w:ascii="ProximaNova-Regular" w:eastAsia="Times New Roman" w:hAnsi="ProximaNova-Regular" w:cs="Times New Roman"/>
          <w:i/>
          <w:iCs/>
          <w:color w:val="000000"/>
          <w:kern w:val="0"/>
          <w:sz w:val="27"/>
          <w:szCs w:val="27"/>
          <w:shd w:val="clear" w:color="auto" w:fill="FFFFFF"/>
          <w14:ligatures w14:val="none"/>
        </w:rPr>
        <w:t xml:space="preserve">Our Disability Justice program </w:t>
      </w:r>
      <w:proofErr w:type="spellStart"/>
      <w:r w:rsidRPr="00477F08">
        <w:rPr>
          <w:rFonts w:ascii="ProximaNova-Regular" w:eastAsia="Times New Roman" w:hAnsi="ProximaNova-Regular" w:cs="Times New Roman"/>
          <w:i/>
          <w:iCs/>
          <w:color w:val="000000"/>
          <w:kern w:val="0"/>
          <w:sz w:val="27"/>
          <w:szCs w:val="27"/>
          <w:shd w:val="clear" w:color="auto" w:fill="FFFFFF"/>
          <w14:ligatures w14:val="none"/>
        </w:rPr>
        <w:t>orks</w:t>
      </w:r>
      <w:proofErr w:type="spellEnd"/>
      <w:r w:rsidRPr="00477F08">
        <w:rPr>
          <w:rFonts w:ascii="ProximaNova-Regular" w:eastAsia="Times New Roman" w:hAnsi="ProximaNova-Regular" w:cs="Times New Roman"/>
          <w:i/>
          <w:iCs/>
          <w:color w:val="000000"/>
          <w:kern w:val="0"/>
          <w:sz w:val="27"/>
          <w:szCs w:val="27"/>
          <w:shd w:val="clear" w:color="auto" w:fill="FFFFFF"/>
          <w14:ligatures w14:val="none"/>
        </w:rPr>
        <w:t xml:space="preserve"> to achieve equality of opportunity, self-determination, and independence for people with disabilities. </w:t>
      </w:r>
      <w:r w:rsidRPr="00477F08">
        <w:rPr>
          <w:rFonts w:ascii="ProximaNova-Regular" w:eastAsia="Times New Roman" w:hAnsi="ProximaNova-Regular" w:cs="Times New Roman"/>
          <w:i/>
          <w:iCs/>
          <w:color w:val="000000"/>
          <w:kern w:val="0"/>
          <w:sz w:val="27"/>
          <w:szCs w:val="27"/>
          <w:shd w:val="clear" w:color="auto" w:fill="FFFFFF"/>
          <w14:ligatures w14:val="none"/>
        </w:rPr>
        <w:t xml:space="preserve">  Our Environmental Justice program </w:t>
      </w:r>
      <w:r w:rsidR="00477F08" w:rsidRPr="00477F08">
        <w:rPr>
          <w:rFonts w:ascii="ProximaNova-Regular" w:eastAsia="Times New Roman" w:hAnsi="ProximaNova-Regular" w:cs="Times New Roman"/>
          <w:i/>
          <w:iCs/>
          <w:color w:val="000000"/>
          <w:kern w:val="0"/>
          <w:sz w:val="27"/>
          <w:szCs w:val="27"/>
          <w:bdr w:val="none" w:sz="0" w:space="0" w:color="auto" w:frame="1"/>
          <w:shd w:val="clear" w:color="auto" w:fill="FFFFFF"/>
          <w14:ligatures w14:val="none"/>
        </w:rPr>
        <w:t>fights environmental racism, </w:t>
      </w:r>
      <w:r w:rsidR="00477F08" w:rsidRPr="00477F08">
        <w:rPr>
          <w:rFonts w:ascii="ProximaNova-Regular" w:eastAsia="Times New Roman" w:hAnsi="ProximaNova-Regular" w:cs="Times New Roman"/>
          <w:i/>
          <w:iCs/>
          <w:color w:val="000000"/>
          <w:kern w:val="0"/>
          <w:sz w:val="27"/>
          <w:szCs w:val="27"/>
          <w:shd w:val="clear" w:color="auto" w:fill="FFFFFF"/>
          <w14:ligatures w14:val="none"/>
        </w:rPr>
        <w:t>works to eliminate the unfair burden of environmental hazards borne by low-income communities and communities of color, and seeks to create a more equitable and sustainable city.</w:t>
      </w:r>
      <w:r w:rsidR="00477F08">
        <w:rPr>
          <w:rFonts w:ascii="ProximaNova-Regular" w:eastAsia="Times New Roman" w:hAnsi="ProximaNova-Regular" w:cs="Times New Roman"/>
          <w:i/>
          <w:iCs/>
          <w:color w:val="000000"/>
          <w:kern w:val="0"/>
          <w:sz w:val="27"/>
          <w:szCs w:val="27"/>
          <w:shd w:val="clear" w:color="auto" w:fill="FFFFFF"/>
          <w14:ligatures w14:val="none"/>
        </w:rPr>
        <w:t xml:space="preserve">  For more information visit </w:t>
      </w:r>
      <w:hyperlink r:id="rId10" w:history="1">
        <w:r w:rsidR="00477F08" w:rsidRPr="00D17299">
          <w:rPr>
            <w:rStyle w:val="Hyperlink"/>
            <w:rFonts w:ascii="ProximaNova-Regular" w:eastAsia="Times New Roman" w:hAnsi="ProximaNova-Regular" w:cs="Times New Roman"/>
            <w:i/>
            <w:iCs/>
            <w:kern w:val="0"/>
            <w:sz w:val="27"/>
            <w:szCs w:val="27"/>
            <w:shd w:val="clear" w:color="auto" w:fill="FFFFFF"/>
            <w14:ligatures w14:val="none"/>
          </w:rPr>
          <w:t>www.nylpi.org</w:t>
        </w:r>
      </w:hyperlink>
      <w:r w:rsidR="00477F08">
        <w:rPr>
          <w:rFonts w:ascii="ProximaNova-Regular" w:eastAsia="Times New Roman" w:hAnsi="ProximaNova-Regular" w:cs="Times New Roman"/>
          <w:i/>
          <w:iCs/>
          <w:color w:val="000000"/>
          <w:kern w:val="0"/>
          <w:sz w:val="27"/>
          <w:szCs w:val="27"/>
          <w:shd w:val="clear" w:color="auto" w:fill="FFFFFF"/>
          <w14:ligatures w14:val="none"/>
        </w:rPr>
        <w:t xml:space="preserve">. </w:t>
      </w:r>
    </w:p>
    <w:p w14:paraId="69A27B1E" w14:textId="61CA4E13" w:rsidR="00DC4164" w:rsidRPr="00DC4164" w:rsidRDefault="00DC4164" w:rsidP="00DC4164">
      <w:pPr>
        <w:rPr>
          <w:rFonts w:ascii="Times New Roman" w:eastAsia="Times New Roman" w:hAnsi="Times New Roman" w:cs="Times New Roman"/>
          <w:kern w:val="0"/>
          <w:sz w:val="24"/>
          <w:szCs w:val="24"/>
          <w14:ligatures w14:val="none"/>
        </w:rPr>
      </w:pPr>
    </w:p>
    <w:p w14:paraId="59426423" w14:textId="195A29E8" w:rsidR="004D4E61" w:rsidRPr="004D4E61" w:rsidRDefault="004D4E61" w:rsidP="00876DFB">
      <w:pPr>
        <w:pStyle w:val="paragraph"/>
        <w:spacing w:before="0" w:beforeAutospacing="0" w:after="0" w:afterAutospacing="0"/>
        <w:textAlignment w:val="baseline"/>
        <w:rPr>
          <w:rFonts w:ascii="Segoe UI" w:hAnsi="Segoe UI" w:cs="Segoe UI"/>
          <w:sz w:val="18"/>
          <w:szCs w:val="18"/>
        </w:rPr>
      </w:pPr>
    </w:p>
    <w:p w14:paraId="11C59BB5" w14:textId="77777777" w:rsidR="00876DFB" w:rsidRDefault="00876DFB" w:rsidP="00876DF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12121"/>
          <w:sz w:val="28"/>
          <w:szCs w:val="28"/>
        </w:rPr>
        <w:t> </w:t>
      </w:r>
      <w:r>
        <w:rPr>
          <w:rStyle w:val="eop"/>
          <w:rFonts w:ascii="Arial" w:hAnsi="Arial" w:cs="Arial"/>
          <w:color w:val="212121"/>
          <w:sz w:val="28"/>
          <w:szCs w:val="28"/>
        </w:rPr>
        <w:t> </w:t>
      </w:r>
    </w:p>
    <w:p w14:paraId="7FC8EACE" w14:textId="77777777" w:rsidR="00434D76" w:rsidRDefault="00434D76" w:rsidP="00434D76">
      <w:pPr>
        <w:rPr>
          <w:sz w:val="28"/>
          <w:szCs w:val="28"/>
        </w:rPr>
      </w:pPr>
    </w:p>
    <w:p w14:paraId="20CC5127" w14:textId="77777777" w:rsidR="00876DFB" w:rsidRDefault="00876DFB" w:rsidP="00434D76">
      <w:pPr>
        <w:rPr>
          <w:sz w:val="28"/>
          <w:szCs w:val="28"/>
        </w:rPr>
      </w:pPr>
    </w:p>
    <w:p w14:paraId="3D76CD2B" w14:textId="77777777" w:rsidR="00876DFB" w:rsidRDefault="00876DFB" w:rsidP="00434D76">
      <w:pPr>
        <w:rPr>
          <w:sz w:val="28"/>
          <w:szCs w:val="28"/>
        </w:rPr>
      </w:pPr>
    </w:p>
    <w:p w14:paraId="3786E430" w14:textId="77777777" w:rsidR="00876DFB" w:rsidRPr="00434D76" w:rsidRDefault="00876DFB" w:rsidP="00434D76">
      <w:pPr>
        <w:rPr>
          <w:sz w:val="28"/>
          <w:szCs w:val="28"/>
        </w:rPr>
      </w:pPr>
    </w:p>
    <w:sectPr w:rsidR="00876DFB" w:rsidRPr="00434D76" w:rsidSect="005175A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6A480" w14:textId="77777777" w:rsidR="00627502" w:rsidRDefault="00627502">
      <w:pPr>
        <w:spacing w:after="0" w:line="240" w:lineRule="auto"/>
      </w:pPr>
      <w:r>
        <w:separator/>
      </w:r>
    </w:p>
  </w:endnote>
  <w:endnote w:type="continuationSeparator" w:id="0">
    <w:p w14:paraId="64835987" w14:textId="77777777" w:rsidR="00627502" w:rsidRDefault="00627502">
      <w:pPr>
        <w:spacing w:after="0" w:line="240" w:lineRule="auto"/>
      </w:pPr>
      <w:r>
        <w:continuationSeparator/>
      </w:r>
    </w:p>
  </w:endnote>
  <w:endnote w:type="continuationNotice" w:id="1">
    <w:p w14:paraId="2D803C87" w14:textId="77777777" w:rsidR="00627502" w:rsidRDefault="00627502">
      <w:pPr>
        <w:spacing w:after="0" w:line="240" w:lineRule="auto"/>
      </w:pPr>
    </w:p>
  </w:endnote>
  <w:endnote w:id="2">
    <w:p w14:paraId="6C7AD67F" w14:textId="0B9D69C9" w:rsidR="00846F68" w:rsidRDefault="00846F68" w:rsidP="6419A41C">
      <w:pPr>
        <w:pStyle w:val="EndnoteText"/>
      </w:pPr>
      <w:r w:rsidRPr="6419A41C">
        <w:rPr>
          <w:rStyle w:val="EndnoteReference"/>
        </w:rPr>
        <w:endnoteRef/>
      </w:r>
      <w:r>
        <w:t xml:space="preserve"> Taxi and Limousine Commission 2022 Annual Report, p. 5.  Available at:  </w:t>
      </w:r>
      <w:hyperlink r:id="rId1">
        <w:r w:rsidRPr="4943CA22">
          <w:rPr>
            <w:rStyle w:val="Hyperlink"/>
          </w:rPr>
          <w:t>https://www.nyc.gov/assets/tlc/downloads/pdf/annual_report_2022.pdf</w:t>
        </w:r>
      </w:hyperlink>
    </w:p>
  </w:endnote>
  <w:endnote w:id="3">
    <w:p w14:paraId="0472A1A3" w14:textId="2BF07433" w:rsidR="00995AD7" w:rsidRDefault="00846F68">
      <w:pPr>
        <w:pStyle w:val="EndnoteText"/>
      </w:pPr>
      <w:r>
        <w:rPr>
          <w:rStyle w:val="EndnoteReference"/>
        </w:rPr>
        <w:endnoteRef/>
      </w:r>
      <w:r>
        <w:t xml:space="preserve"> </w:t>
      </w:r>
      <w:r w:rsidR="00F204A5">
        <w:t xml:space="preserve">Approximately one percent of FHVs are currently electric, according to the TLC’s 2022 “Charged Up!” report, available at:  </w:t>
      </w:r>
      <w:r w:rsidR="00995AD7" w:rsidRPr="00995AD7">
        <w:t>https://www.nyc.gov/assets/tlc/downloads/pdf/Charged_Up!_TLC_Electrification_Report-2022.pdf</w:t>
      </w:r>
    </w:p>
  </w:endnote>
  <w:endnote w:id="4">
    <w:p w14:paraId="2C53FE69" w14:textId="484B8E17" w:rsidR="00772620" w:rsidRDefault="00772620">
      <w:pPr>
        <w:pStyle w:val="EndnoteText"/>
      </w:pPr>
      <w:r>
        <w:rPr>
          <w:rStyle w:val="EndnoteReference"/>
        </w:rPr>
        <w:endnoteRef/>
      </w:r>
      <w:r>
        <w:t xml:space="preserve"> See NYLPI’s 2021 report “</w:t>
      </w:r>
      <w:proofErr w:type="spellStart"/>
      <w:r>
        <w:t>Contiuing</w:t>
      </w:r>
      <w:proofErr w:type="spellEnd"/>
      <w:r>
        <w:t xml:space="preserve"> to be Left Behind,” available at: </w:t>
      </w:r>
      <w:hyperlink r:id="rId2" w:history="1">
        <w:r w:rsidRPr="00AF3A77">
          <w:rPr>
            <w:rStyle w:val="Hyperlink"/>
          </w:rPr>
          <w:t>https://www.nylpi.org/wp-content/uploads/2021/10/2021_Continuing-to-be-Left-Behind-Report.pdf</w:t>
        </w:r>
      </w:hyperlink>
      <w:r>
        <w:t>.</w:t>
      </w:r>
    </w:p>
  </w:endnote>
  <w:endnote w:id="5">
    <w:p w14:paraId="4B693264" w14:textId="41874A67" w:rsidR="0092767D" w:rsidRDefault="00BE7D72">
      <w:pPr>
        <w:pStyle w:val="EndnoteText"/>
      </w:pPr>
      <w:r>
        <w:rPr>
          <w:rStyle w:val="EndnoteReference"/>
        </w:rPr>
        <w:endnoteRef/>
      </w:r>
      <w:r w:rsidR="00B54D64">
        <w:t>See Mayor’s Office of People With Disabilities</w:t>
      </w:r>
      <w:r w:rsidR="0092767D">
        <w:t xml:space="preserve">, Overview, available at:  </w:t>
      </w:r>
      <w:hyperlink r:id="rId3" w:anchor=":~:text=Disability%20Statistics%20in%20NYC,people%20with%20disabilities%20in%20NYC" w:history="1">
        <w:r w:rsidR="0092767D" w:rsidRPr="00AF3A77">
          <w:rPr>
            <w:rStyle w:val="Hyperlink"/>
          </w:rPr>
          <w:t>https://www.nyc.gov/site/mopd/resources/resources.page#:~:text=Disability%20Statistics%20in%20NYC,people%20with%20disabilities%20in%20NYC</w:t>
        </w:r>
      </w:hyperlink>
      <w:r w:rsidR="0092767D" w:rsidRPr="0092767D">
        <w:t>.</w:t>
      </w:r>
    </w:p>
  </w:endnote>
  <w:endnote w:id="6">
    <w:p w14:paraId="5F1F1687" w14:textId="01B80262" w:rsidR="0092767D" w:rsidRDefault="0092767D">
      <w:pPr>
        <w:pStyle w:val="EndnoteText"/>
      </w:pPr>
      <w:r>
        <w:rPr>
          <w:rStyle w:val="EndnoteReference"/>
        </w:rPr>
        <w:endnoteRef/>
      </w:r>
      <w:r>
        <w:t xml:space="preserve">For example, see </w:t>
      </w:r>
      <w:r w:rsidR="000D17B3">
        <w:t>“Climate Change and the Health of People with Disabilities,” US Environmental Protection Agenc</w:t>
      </w:r>
      <w:r w:rsidR="009622FF">
        <w:t xml:space="preserve">y, available at:  </w:t>
      </w:r>
      <w:hyperlink r:id="rId4" w:history="1">
        <w:r w:rsidR="009622FF" w:rsidRPr="00AF3A77">
          <w:rPr>
            <w:rStyle w:val="Hyperlink"/>
          </w:rPr>
          <w:t>https://www.epa.gov/climateimpacts/climate-change-and-health-people-disabilities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ProximaNova-Regular">
    <w:altName w:val="Cambria"/>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9A92C" w14:textId="77777777" w:rsidR="00EA7DEE" w:rsidRDefault="00EA7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102B3" w14:textId="77777777" w:rsidR="00EA7DEE" w:rsidRDefault="00EA7D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6F13C" w14:textId="77777777" w:rsidR="00EA7DEE" w:rsidRDefault="00EA7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71DBE" w14:textId="77777777" w:rsidR="00627502" w:rsidRDefault="00627502">
      <w:pPr>
        <w:spacing w:after="0" w:line="240" w:lineRule="auto"/>
      </w:pPr>
      <w:r>
        <w:separator/>
      </w:r>
    </w:p>
  </w:footnote>
  <w:footnote w:type="continuationSeparator" w:id="0">
    <w:p w14:paraId="043ADD39" w14:textId="77777777" w:rsidR="00627502" w:rsidRDefault="00627502">
      <w:pPr>
        <w:spacing w:after="0" w:line="240" w:lineRule="auto"/>
      </w:pPr>
      <w:r>
        <w:continuationSeparator/>
      </w:r>
    </w:p>
  </w:footnote>
  <w:footnote w:type="continuationNotice" w:id="1">
    <w:p w14:paraId="4417DF78" w14:textId="77777777" w:rsidR="00627502" w:rsidRDefault="006275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83C56" w14:textId="77777777" w:rsidR="00EA7DEE" w:rsidRDefault="00EA7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04A75" w14:textId="68E1FEBB" w:rsidR="00EA7DEE" w:rsidRDefault="00EA7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B639A" w14:textId="77777777" w:rsidR="00EA7DEE" w:rsidRDefault="00EA7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27D59"/>
    <w:multiLevelType w:val="hybridMultilevel"/>
    <w:tmpl w:val="CAB29036"/>
    <w:lvl w:ilvl="0" w:tplc="CB307F00">
      <w:start w:val="1"/>
      <w:numFmt w:val="bullet"/>
      <w:lvlText w:val=""/>
      <w:lvlJc w:val="left"/>
      <w:pPr>
        <w:ind w:left="1080" w:hanging="360"/>
      </w:pPr>
      <w:rPr>
        <w:rFonts w:ascii="Symbol" w:hAnsi="Symbol" w:hint="default"/>
      </w:rPr>
    </w:lvl>
    <w:lvl w:ilvl="1" w:tplc="C8BA033C">
      <w:start w:val="1"/>
      <w:numFmt w:val="bullet"/>
      <w:lvlText w:val="o"/>
      <w:lvlJc w:val="left"/>
      <w:pPr>
        <w:ind w:left="1800" w:hanging="360"/>
      </w:pPr>
      <w:rPr>
        <w:rFonts w:ascii="Courier New" w:hAnsi="Courier New" w:hint="default"/>
      </w:rPr>
    </w:lvl>
    <w:lvl w:ilvl="2" w:tplc="90160F04">
      <w:start w:val="1"/>
      <w:numFmt w:val="bullet"/>
      <w:lvlText w:val=""/>
      <w:lvlJc w:val="left"/>
      <w:pPr>
        <w:ind w:left="2520" w:hanging="360"/>
      </w:pPr>
      <w:rPr>
        <w:rFonts w:ascii="Wingdings" w:hAnsi="Wingdings" w:hint="default"/>
      </w:rPr>
    </w:lvl>
    <w:lvl w:ilvl="3" w:tplc="654A62D8">
      <w:start w:val="1"/>
      <w:numFmt w:val="bullet"/>
      <w:lvlText w:val=""/>
      <w:lvlJc w:val="left"/>
      <w:pPr>
        <w:ind w:left="3240" w:hanging="360"/>
      </w:pPr>
      <w:rPr>
        <w:rFonts w:ascii="Symbol" w:hAnsi="Symbol" w:hint="default"/>
      </w:rPr>
    </w:lvl>
    <w:lvl w:ilvl="4" w:tplc="6D62A32A">
      <w:start w:val="1"/>
      <w:numFmt w:val="bullet"/>
      <w:lvlText w:val="o"/>
      <w:lvlJc w:val="left"/>
      <w:pPr>
        <w:ind w:left="3960" w:hanging="360"/>
      </w:pPr>
      <w:rPr>
        <w:rFonts w:ascii="Courier New" w:hAnsi="Courier New" w:hint="default"/>
      </w:rPr>
    </w:lvl>
    <w:lvl w:ilvl="5" w:tplc="F4FACFCE">
      <w:start w:val="1"/>
      <w:numFmt w:val="bullet"/>
      <w:lvlText w:val=""/>
      <w:lvlJc w:val="left"/>
      <w:pPr>
        <w:ind w:left="4680" w:hanging="360"/>
      </w:pPr>
      <w:rPr>
        <w:rFonts w:ascii="Wingdings" w:hAnsi="Wingdings" w:hint="default"/>
      </w:rPr>
    </w:lvl>
    <w:lvl w:ilvl="6" w:tplc="BBD6A932">
      <w:start w:val="1"/>
      <w:numFmt w:val="bullet"/>
      <w:lvlText w:val=""/>
      <w:lvlJc w:val="left"/>
      <w:pPr>
        <w:ind w:left="5400" w:hanging="360"/>
      </w:pPr>
      <w:rPr>
        <w:rFonts w:ascii="Symbol" w:hAnsi="Symbol" w:hint="default"/>
      </w:rPr>
    </w:lvl>
    <w:lvl w:ilvl="7" w:tplc="84A89E5E">
      <w:start w:val="1"/>
      <w:numFmt w:val="bullet"/>
      <w:lvlText w:val="o"/>
      <w:lvlJc w:val="left"/>
      <w:pPr>
        <w:ind w:left="6120" w:hanging="360"/>
      </w:pPr>
      <w:rPr>
        <w:rFonts w:ascii="Courier New" w:hAnsi="Courier New" w:hint="default"/>
      </w:rPr>
    </w:lvl>
    <w:lvl w:ilvl="8" w:tplc="EA266508">
      <w:start w:val="1"/>
      <w:numFmt w:val="bullet"/>
      <w:lvlText w:val=""/>
      <w:lvlJc w:val="left"/>
      <w:pPr>
        <w:ind w:left="6840" w:hanging="360"/>
      </w:pPr>
      <w:rPr>
        <w:rFonts w:ascii="Wingdings" w:hAnsi="Wingdings" w:hint="default"/>
      </w:rPr>
    </w:lvl>
  </w:abstractNum>
  <w:abstractNum w:abstractNumId="1" w15:restartNumberingAfterBreak="0">
    <w:nsid w:val="19D35AD1"/>
    <w:multiLevelType w:val="hybridMultilevel"/>
    <w:tmpl w:val="13AE6932"/>
    <w:lvl w:ilvl="0" w:tplc="32160214">
      <w:start w:val="4"/>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2B785FA"/>
    <w:multiLevelType w:val="hybridMultilevel"/>
    <w:tmpl w:val="8A06B3E4"/>
    <w:lvl w:ilvl="0" w:tplc="B5D8D06E">
      <w:start w:val="1"/>
      <w:numFmt w:val="bullet"/>
      <w:lvlText w:val=""/>
      <w:lvlJc w:val="left"/>
      <w:pPr>
        <w:ind w:left="720" w:hanging="360"/>
      </w:pPr>
      <w:rPr>
        <w:rFonts w:ascii="Symbol" w:hAnsi="Symbol" w:hint="default"/>
      </w:rPr>
    </w:lvl>
    <w:lvl w:ilvl="1" w:tplc="B4F4A964">
      <w:start w:val="1"/>
      <w:numFmt w:val="bullet"/>
      <w:lvlText w:val=""/>
      <w:lvlJc w:val="left"/>
      <w:pPr>
        <w:ind w:left="1440" w:hanging="360"/>
      </w:pPr>
      <w:rPr>
        <w:rFonts w:ascii="Symbol" w:hAnsi="Symbol" w:hint="default"/>
      </w:rPr>
    </w:lvl>
    <w:lvl w:ilvl="2" w:tplc="E6304A64">
      <w:start w:val="1"/>
      <w:numFmt w:val="bullet"/>
      <w:lvlText w:val=""/>
      <w:lvlJc w:val="left"/>
      <w:pPr>
        <w:ind w:left="2160" w:hanging="360"/>
      </w:pPr>
      <w:rPr>
        <w:rFonts w:ascii="Wingdings" w:hAnsi="Wingdings" w:hint="default"/>
      </w:rPr>
    </w:lvl>
    <w:lvl w:ilvl="3" w:tplc="36969650">
      <w:start w:val="1"/>
      <w:numFmt w:val="bullet"/>
      <w:lvlText w:val=""/>
      <w:lvlJc w:val="left"/>
      <w:pPr>
        <w:ind w:left="2880" w:hanging="360"/>
      </w:pPr>
      <w:rPr>
        <w:rFonts w:ascii="Symbol" w:hAnsi="Symbol" w:hint="default"/>
      </w:rPr>
    </w:lvl>
    <w:lvl w:ilvl="4" w:tplc="F9E0D33A">
      <w:start w:val="1"/>
      <w:numFmt w:val="bullet"/>
      <w:lvlText w:val="o"/>
      <w:lvlJc w:val="left"/>
      <w:pPr>
        <w:ind w:left="3600" w:hanging="360"/>
      </w:pPr>
      <w:rPr>
        <w:rFonts w:ascii="Courier New" w:hAnsi="Courier New" w:hint="default"/>
      </w:rPr>
    </w:lvl>
    <w:lvl w:ilvl="5" w:tplc="E51AAAA6">
      <w:start w:val="1"/>
      <w:numFmt w:val="bullet"/>
      <w:lvlText w:val=""/>
      <w:lvlJc w:val="left"/>
      <w:pPr>
        <w:ind w:left="4320" w:hanging="360"/>
      </w:pPr>
      <w:rPr>
        <w:rFonts w:ascii="Wingdings" w:hAnsi="Wingdings" w:hint="default"/>
      </w:rPr>
    </w:lvl>
    <w:lvl w:ilvl="6" w:tplc="19507B28">
      <w:start w:val="1"/>
      <w:numFmt w:val="bullet"/>
      <w:lvlText w:val=""/>
      <w:lvlJc w:val="left"/>
      <w:pPr>
        <w:ind w:left="5040" w:hanging="360"/>
      </w:pPr>
      <w:rPr>
        <w:rFonts w:ascii="Symbol" w:hAnsi="Symbol" w:hint="default"/>
      </w:rPr>
    </w:lvl>
    <w:lvl w:ilvl="7" w:tplc="286AF674">
      <w:start w:val="1"/>
      <w:numFmt w:val="bullet"/>
      <w:lvlText w:val="o"/>
      <w:lvlJc w:val="left"/>
      <w:pPr>
        <w:ind w:left="5760" w:hanging="360"/>
      </w:pPr>
      <w:rPr>
        <w:rFonts w:ascii="Courier New" w:hAnsi="Courier New" w:hint="default"/>
      </w:rPr>
    </w:lvl>
    <w:lvl w:ilvl="8" w:tplc="7DF2189C">
      <w:start w:val="1"/>
      <w:numFmt w:val="bullet"/>
      <w:lvlText w:val=""/>
      <w:lvlJc w:val="left"/>
      <w:pPr>
        <w:ind w:left="6480" w:hanging="360"/>
      </w:pPr>
      <w:rPr>
        <w:rFonts w:ascii="Wingdings" w:hAnsi="Wingdings" w:hint="default"/>
      </w:rPr>
    </w:lvl>
  </w:abstractNum>
  <w:abstractNum w:abstractNumId="3" w15:restartNumberingAfterBreak="0">
    <w:nsid w:val="6C3277A1"/>
    <w:multiLevelType w:val="hybridMultilevel"/>
    <w:tmpl w:val="ADECB60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6B"/>
    <w:rsid w:val="000238BD"/>
    <w:rsid w:val="0004133D"/>
    <w:rsid w:val="0004266A"/>
    <w:rsid w:val="00074458"/>
    <w:rsid w:val="00085B9A"/>
    <w:rsid w:val="00096015"/>
    <w:rsid w:val="000D17B3"/>
    <w:rsid w:val="000E21ED"/>
    <w:rsid w:val="000F0FF2"/>
    <w:rsid w:val="001D3035"/>
    <w:rsid w:val="0022739B"/>
    <w:rsid w:val="00233E99"/>
    <w:rsid w:val="00255690"/>
    <w:rsid w:val="00273576"/>
    <w:rsid w:val="002C3C45"/>
    <w:rsid w:val="00304643"/>
    <w:rsid w:val="0034059F"/>
    <w:rsid w:val="00346534"/>
    <w:rsid w:val="003D5465"/>
    <w:rsid w:val="003D757D"/>
    <w:rsid w:val="003E0294"/>
    <w:rsid w:val="00416BCE"/>
    <w:rsid w:val="00433B65"/>
    <w:rsid w:val="00434D76"/>
    <w:rsid w:val="00474A57"/>
    <w:rsid w:val="00477F08"/>
    <w:rsid w:val="00495844"/>
    <w:rsid w:val="004D458B"/>
    <w:rsid w:val="004D4E61"/>
    <w:rsid w:val="004E2D3D"/>
    <w:rsid w:val="004F0BD3"/>
    <w:rsid w:val="00500DF5"/>
    <w:rsid w:val="005175AA"/>
    <w:rsid w:val="005B198F"/>
    <w:rsid w:val="005E7149"/>
    <w:rsid w:val="00600A5F"/>
    <w:rsid w:val="0061155A"/>
    <w:rsid w:val="00627502"/>
    <w:rsid w:val="00643DAF"/>
    <w:rsid w:val="00676963"/>
    <w:rsid w:val="006963B7"/>
    <w:rsid w:val="006A0140"/>
    <w:rsid w:val="006C0B24"/>
    <w:rsid w:val="006C52FB"/>
    <w:rsid w:val="006D3D2C"/>
    <w:rsid w:val="006E706B"/>
    <w:rsid w:val="00771A9A"/>
    <w:rsid w:val="00772620"/>
    <w:rsid w:val="00777888"/>
    <w:rsid w:val="007C68E0"/>
    <w:rsid w:val="007C7CCA"/>
    <w:rsid w:val="007D0EF6"/>
    <w:rsid w:val="007F7A6B"/>
    <w:rsid w:val="00846F68"/>
    <w:rsid w:val="00876DFB"/>
    <w:rsid w:val="008A45DA"/>
    <w:rsid w:val="008B26CB"/>
    <w:rsid w:val="008C0D4C"/>
    <w:rsid w:val="008C46AF"/>
    <w:rsid w:val="008E53A2"/>
    <w:rsid w:val="008E7891"/>
    <w:rsid w:val="0091115C"/>
    <w:rsid w:val="0092767D"/>
    <w:rsid w:val="0093396E"/>
    <w:rsid w:val="009622FF"/>
    <w:rsid w:val="00995AD7"/>
    <w:rsid w:val="009A6548"/>
    <w:rsid w:val="009F688C"/>
    <w:rsid w:val="00A0193D"/>
    <w:rsid w:val="00A2249A"/>
    <w:rsid w:val="00A43EBF"/>
    <w:rsid w:val="00A76C3A"/>
    <w:rsid w:val="00AE1768"/>
    <w:rsid w:val="00AF16DC"/>
    <w:rsid w:val="00B255DE"/>
    <w:rsid w:val="00B35D27"/>
    <w:rsid w:val="00B40BA7"/>
    <w:rsid w:val="00B54D64"/>
    <w:rsid w:val="00B616E5"/>
    <w:rsid w:val="00BA3597"/>
    <w:rsid w:val="00BD05FF"/>
    <w:rsid w:val="00BD2B90"/>
    <w:rsid w:val="00BE7D72"/>
    <w:rsid w:val="00C3019F"/>
    <w:rsid w:val="00C336AA"/>
    <w:rsid w:val="00C7617D"/>
    <w:rsid w:val="00C819A6"/>
    <w:rsid w:val="00CB5A55"/>
    <w:rsid w:val="00CD3B0F"/>
    <w:rsid w:val="00CE7E8F"/>
    <w:rsid w:val="00CF4587"/>
    <w:rsid w:val="00D126DC"/>
    <w:rsid w:val="00D450AF"/>
    <w:rsid w:val="00D5C8AB"/>
    <w:rsid w:val="00DA37FB"/>
    <w:rsid w:val="00DA4397"/>
    <w:rsid w:val="00DC4164"/>
    <w:rsid w:val="00DD24A3"/>
    <w:rsid w:val="00DF09B3"/>
    <w:rsid w:val="00E21BC7"/>
    <w:rsid w:val="00E347F9"/>
    <w:rsid w:val="00EA25D7"/>
    <w:rsid w:val="00EA7DEE"/>
    <w:rsid w:val="00EB7F90"/>
    <w:rsid w:val="00EC0EF5"/>
    <w:rsid w:val="00F204A5"/>
    <w:rsid w:val="00F4647A"/>
    <w:rsid w:val="00FC6EC6"/>
    <w:rsid w:val="00FD08E1"/>
    <w:rsid w:val="00FE010B"/>
    <w:rsid w:val="0124728D"/>
    <w:rsid w:val="0150CF53"/>
    <w:rsid w:val="017F3C3A"/>
    <w:rsid w:val="01E35787"/>
    <w:rsid w:val="01FC6C04"/>
    <w:rsid w:val="0271990C"/>
    <w:rsid w:val="0294FAA7"/>
    <w:rsid w:val="03A5C480"/>
    <w:rsid w:val="04D07CEE"/>
    <w:rsid w:val="04EAF0F6"/>
    <w:rsid w:val="050D6B89"/>
    <w:rsid w:val="05901171"/>
    <w:rsid w:val="05A97F85"/>
    <w:rsid w:val="05DEBB53"/>
    <w:rsid w:val="072BE1D2"/>
    <w:rsid w:val="077A8BB4"/>
    <w:rsid w:val="09552BE6"/>
    <w:rsid w:val="09B24F13"/>
    <w:rsid w:val="0A0838D3"/>
    <w:rsid w:val="0A44409D"/>
    <w:rsid w:val="0C66C406"/>
    <w:rsid w:val="0C709B8C"/>
    <w:rsid w:val="0CBC8CB1"/>
    <w:rsid w:val="0DC21203"/>
    <w:rsid w:val="0E56E1C1"/>
    <w:rsid w:val="0E7F197E"/>
    <w:rsid w:val="0F92F2AB"/>
    <w:rsid w:val="1060961D"/>
    <w:rsid w:val="11E052F4"/>
    <w:rsid w:val="12492848"/>
    <w:rsid w:val="12BF2150"/>
    <w:rsid w:val="130D11D5"/>
    <w:rsid w:val="146FE648"/>
    <w:rsid w:val="15839007"/>
    <w:rsid w:val="1646F8FD"/>
    <w:rsid w:val="166E2055"/>
    <w:rsid w:val="167E7BE1"/>
    <w:rsid w:val="16A7BE7E"/>
    <w:rsid w:val="16C0E6DB"/>
    <w:rsid w:val="17F18161"/>
    <w:rsid w:val="18438EDF"/>
    <w:rsid w:val="18631D9B"/>
    <w:rsid w:val="18C857B4"/>
    <w:rsid w:val="1931D623"/>
    <w:rsid w:val="193218B7"/>
    <w:rsid w:val="19DF5F40"/>
    <w:rsid w:val="1A40D8EF"/>
    <w:rsid w:val="1AA2FB31"/>
    <w:rsid w:val="1AD19B0C"/>
    <w:rsid w:val="1BBC1333"/>
    <w:rsid w:val="1C61CFD0"/>
    <w:rsid w:val="1D438063"/>
    <w:rsid w:val="1E1D6F94"/>
    <w:rsid w:val="1EB2D063"/>
    <w:rsid w:val="1EEE1914"/>
    <w:rsid w:val="1F8A868C"/>
    <w:rsid w:val="204EA0C4"/>
    <w:rsid w:val="2103EDF5"/>
    <w:rsid w:val="2209F927"/>
    <w:rsid w:val="22122C5A"/>
    <w:rsid w:val="222B54B7"/>
    <w:rsid w:val="2349DF85"/>
    <w:rsid w:val="237F28DB"/>
    <w:rsid w:val="23885547"/>
    <w:rsid w:val="23A5D042"/>
    <w:rsid w:val="23AA2E12"/>
    <w:rsid w:val="23ADFCBB"/>
    <w:rsid w:val="24A21560"/>
    <w:rsid w:val="252211E7"/>
    <w:rsid w:val="25B0440D"/>
    <w:rsid w:val="25B477E1"/>
    <w:rsid w:val="25E75335"/>
    <w:rsid w:val="26144DB3"/>
    <w:rsid w:val="2634762F"/>
    <w:rsid w:val="26ADBB09"/>
    <w:rsid w:val="26BFF609"/>
    <w:rsid w:val="27A48277"/>
    <w:rsid w:val="28419756"/>
    <w:rsid w:val="28A9DAC9"/>
    <w:rsid w:val="294BEE75"/>
    <w:rsid w:val="2960A4D4"/>
    <w:rsid w:val="29DD67B7"/>
    <w:rsid w:val="29F1E163"/>
    <w:rsid w:val="2A5A7392"/>
    <w:rsid w:val="2ADEA5B4"/>
    <w:rsid w:val="2AE1D997"/>
    <w:rsid w:val="2BE44288"/>
    <w:rsid w:val="2CCD2941"/>
    <w:rsid w:val="2D10A92F"/>
    <w:rsid w:val="2D3776CD"/>
    <w:rsid w:val="2D538FAE"/>
    <w:rsid w:val="2DAFF7E6"/>
    <w:rsid w:val="2DC948A0"/>
    <w:rsid w:val="2ECD100E"/>
    <w:rsid w:val="2F651901"/>
    <w:rsid w:val="306CB214"/>
    <w:rsid w:val="329CB9C3"/>
    <w:rsid w:val="3351B602"/>
    <w:rsid w:val="348B3B2D"/>
    <w:rsid w:val="35DF2FE1"/>
    <w:rsid w:val="3626C366"/>
    <w:rsid w:val="36311D6E"/>
    <w:rsid w:val="371BADBC"/>
    <w:rsid w:val="3950D768"/>
    <w:rsid w:val="3A0DEC6B"/>
    <w:rsid w:val="3A16765F"/>
    <w:rsid w:val="3A1B0C38"/>
    <w:rsid w:val="3A222732"/>
    <w:rsid w:val="3AE8552B"/>
    <w:rsid w:val="3B0C57C0"/>
    <w:rsid w:val="3B44925F"/>
    <w:rsid w:val="3B6D4E1D"/>
    <w:rsid w:val="3C940B94"/>
    <w:rsid w:val="3D458D2D"/>
    <w:rsid w:val="3D4B351C"/>
    <w:rsid w:val="3E1A4085"/>
    <w:rsid w:val="3E31D54B"/>
    <w:rsid w:val="3E5EC5BE"/>
    <w:rsid w:val="3EBEBDE2"/>
    <w:rsid w:val="3EE5D3F1"/>
    <w:rsid w:val="4030682D"/>
    <w:rsid w:val="4082D5DE"/>
    <w:rsid w:val="40C71253"/>
    <w:rsid w:val="4105E7AD"/>
    <w:rsid w:val="4151E147"/>
    <w:rsid w:val="4266F8DA"/>
    <w:rsid w:val="42F940D5"/>
    <w:rsid w:val="42FFA8D3"/>
    <w:rsid w:val="44938A0F"/>
    <w:rsid w:val="4572B645"/>
    <w:rsid w:val="45F892F3"/>
    <w:rsid w:val="4658F27E"/>
    <w:rsid w:val="46BB0BFE"/>
    <w:rsid w:val="46E20396"/>
    <w:rsid w:val="472564B5"/>
    <w:rsid w:val="476FECF7"/>
    <w:rsid w:val="47D14178"/>
    <w:rsid w:val="484727FA"/>
    <w:rsid w:val="4943CA22"/>
    <w:rsid w:val="4EB861C0"/>
    <w:rsid w:val="5120520E"/>
    <w:rsid w:val="51B477D0"/>
    <w:rsid w:val="525A346D"/>
    <w:rsid w:val="526FED51"/>
    <w:rsid w:val="52F89737"/>
    <w:rsid w:val="53EBD20D"/>
    <w:rsid w:val="54F618AA"/>
    <w:rsid w:val="55130586"/>
    <w:rsid w:val="55BD93D8"/>
    <w:rsid w:val="566EC096"/>
    <w:rsid w:val="5685B48C"/>
    <w:rsid w:val="571BC632"/>
    <w:rsid w:val="5750FB9F"/>
    <w:rsid w:val="5754A3DD"/>
    <w:rsid w:val="57663CD7"/>
    <w:rsid w:val="57991DB0"/>
    <w:rsid w:val="57B07058"/>
    <w:rsid w:val="57D52DC1"/>
    <w:rsid w:val="57E2D5C2"/>
    <w:rsid w:val="587EFA96"/>
    <w:rsid w:val="5A80D282"/>
    <w:rsid w:val="5A8B635E"/>
    <w:rsid w:val="5AC26435"/>
    <w:rsid w:val="5B50031D"/>
    <w:rsid w:val="5B8A5A6E"/>
    <w:rsid w:val="5C1D2201"/>
    <w:rsid w:val="5C218B2B"/>
    <w:rsid w:val="5CF68E30"/>
    <w:rsid w:val="5D4198FB"/>
    <w:rsid w:val="5D6039EE"/>
    <w:rsid w:val="5DAC998E"/>
    <w:rsid w:val="5E72C4FC"/>
    <w:rsid w:val="5EEE3C1A"/>
    <w:rsid w:val="5F4869EF"/>
    <w:rsid w:val="604C1884"/>
    <w:rsid w:val="60E43A50"/>
    <w:rsid w:val="6110E972"/>
    <w:rsid w:val="616C5BB8"/>
    <w:rsid w:val="626AB8FD"/>
    <w:rsid w:val="62800AB1"/>
    <w:rsid w:val="631CF481"/>
    <w:rsid w:val="6406895E"/>
    <w:rsid w:val="6419A41C"/>
    <w:rsid w:val="648CDA1E"/>
    <w:rsid w:val="64A257A3"/>
    <w:rsid w:val="64D95B60"/>
    <w:rsid w:val="6575C59A"/>
    <w:rsid w:val="662043AC"/>
    <w:rsid w:val="663E2804"/>
    <w:rsid w:val="674ACBCB"/>
    <w:rsid w:val="6806724E"/>
    <w:rsid w:val="6814312F"/>
    <w:rsid w:val="683B1A6C"/>
    <w:rsid w:val="6863D62A"/>
    <w:rsid w:val="68895FBB"/>
    <w:rsid w:val="68CE5EE4"/>
    <w:rsid w:val="68F23B60"/>
    <w:rsid w:val="6941EEB9"/>
    <w:rsid w:val="697E858F"/>
    <w:rsid w:val="69970F84"/>
    <w:rsid w:val="69AB4A4B"/>
    <w:rsid w:val="6AF870CA"/>
    <w:rsid w:val="6B471AAC"/>
    <w:rsid w:val="6BDC5BFE"/>
    <w:rsid w:val="6D50DC4B"/>
    <w:rsid w:val="6DA3639E"/>
    <w:rsid w:val="6DAD6BA4"/>
    <w:rsid w:val="6DE7E8D7"/>
    <w:rsid w:val="6E432A19"/>
    <w:rsid w:val="6F493C05"/>
    <w:rsid w:val="6FD21B98"/>
    <w:rsid w:val="70CCAB8F"/>
    <w:rsid w:val="70E50C66"/>
    <w:rsid w:val="7106613C"/>
    <w:rsid w:val="719AC95F"/>
    <w:rsid w:val="72A2319D"/>
    <w:rsid w:val="73600CC0"/>
    <w:rsid w:val="74ACE023"/>
    <w:rsid w:val="74FFD03C"/>
    <w:rsid w:val="75A3A611"/>
    <w:rsid w:val="765C9D00"/>
    <w:rsid w:val="77888FFE"/>
    <w:rsid w:val="77A15EF1"/>
    <w:rsid w:val="78023144"/>
    <w:rsid w:val="78B1F987"/>
    <w:rsid w:val="78F01E4B"/>
    <w:rsid w:val="78F1A572"/>
    <w:rsid w:val="79814F40"/>
    <w:rsid w:val="79889D21"/>
    <w:rsid w:val="79D845A1"/>
    <w:rsid w:val="79E97790"/>
    <w:rsid w:val="7B21AD21"/>
    <w:rsid w:val="7C7BA1B2"/>
    <w:rsid w:val="7D2D1675"/>
    <w:rsid w:val="7DEF2662"/>
    <w:rsid w:val="7E9E2A04"/>
    <w:rsid w:val="7EA18403"/>
    <w:rsid w:val="7EABB6C4"/>
    <w:rsid w:val="7F60E6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02AAE"/>
  <w15:chartTrackingRefBased/>
  <w15:docId w15:val="{E96DA6BD-4CF8-4224-B214-51577F5F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A6B"/>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0238BD"/>
    <w:pPr>
      <w:spacing w:after="0" w:line="240" w:lineRule="auto"/>
    </w:pPr>
  </w:style>
  <w:style w:type="character" w:styleId="CommentReference">
    <w:name w:val="annotation reference"/>
    <w:basedOn w:val="DefaultParagraphFont"/>
    <w:uiPriority w:val="99"/>
    <w:semiHidden/>
    <w:unhideWhenUsed/>
    <w:rsid w:val="00EA25D7"/>
    <w:rPr>
      <w:sz w:val="16"/>
      <w:szCs w:val="16"/>
    </w:rPr>
  </w:style>
  <w:style w:type="paragraph" w:styleId="CommentText">
    <w:name w:val="annotation text"/>
    <w:basedOn w:val="Normal"/>
    <w:link w:val="CommentTextChar"/>
    <w:uiPriority w:val="99"/>
    <w:unhideWhenUsed/>
    <w:rsid w:val="00EA25D7"/>
    <w:pPr>
      <w:spacing w:line="240" w:lineRule="auto"/>
    </w:pPr>
    <w:rPr>
      <w:sz w:val="20"/>
      <w:szCs w:val="20"/>
    </w:rPr>
  </w:style>
  <w:style w:type="character" w:customStyle="1" w:styleId="CommentTextChar">
    <w:name w:val="Comment Text Char"/>
    <w:basedOn w:val="DefaultParagraphFont"/>
    <w:link w:val="CommentText"/>
    <w:uiPriority w:val="99"/>
    <w:rsid w:val="00EA25D7"/>
    <w:rPr>
      <w:sz w:val="20"/>
      <w:szCs w:val="20"/>
    </w:rPr>
  </w:style>
  <w:style w:type="paragraph" w:styleId="CommentSubject">
    <w:name w:val="annotation subject"/>
    <w:basedOn w:val="CommentText"/>
    <w:next w:val="CommentText"/>
    <w:link w:val="CommentSubjectChar"/>
    <w:uiPriority w:val="99"/>
    <w:semiHidden/>
    <w:unhideWhenUsed/>
    <w:rsid w:val="00EA25D7"/>
    <w:rPr>
      <w:b/>
      <w:bCs/>
    </w:rPr>
  </w:style>
  <w:style w:type="character" w:customStyle="1" w:styleId="CommentSubjectChar">
    <w:name w:val="Comment Subject Char"/>
    <w:basedOn w:val="CommentTextChar"/>
    <w:link w:val="CommentSubject"/>
    <w:uiPriority w:val="99"/>
    <w:semiHidden/>
    <w:rsid w:val="00EA25D7"/>
    <w:rPr>
      <w:b/>
      <w:bCs/>
      <w:sz w:val="20"/>
      <w:szCs w:val="20"/>
    </w:rPr>
  </w:style>
  <w:style w:type="paragraph" w:styleId="Header">
    <w:name w:val="header"/>
    <w:basedOn w:val="Normal"/>
    <w:link w:val="HeaderChar"/>
    <w:uiPriority w:val="99"/>
    <w:unhideWhenUsed/>
    <w:rsid w:val="004F0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BD3"/>
  </w:style>
  <w:style w:type="paragraph" w:styleId="Footer">
    <w:name w:val="footer"/>
    <w:basedOn w:val="Normal"/>
    <w:link w:val="FooterChar"/>
    <w:uiPriority w:val="99"/>
    <w:unhideWhenUsed/>
    <w:rsid w:val="004F0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BD3"/>
  </w:style>
  <w:style w:type="character" w:styleId="EndnoteReference">
    <w:name w:val="endnote reference"/>
    <w:basedOn w:val="DefaultParagraphFont"/>
    <w:uiPriority w:val="99"/>
    <w:semiHidden/>
    <w:unhideWhenUsed/>
    <w:rsid w:val="004F0BD3"/>
    <w:rPr>
      <w:vertAlign w:val="superscript"/>
    </w:rPr>
  </w:style>
  <w:style w:type="character" w:customStyle="1" w:styleId="EndnoteTextChar">
    <w:name w:val="Endnote Text Char"/>
    <w:basedOn w:val="DefaultParagraphFont"/>
    <w:link w:val="EndnoteText"/>
    <w:uiPriority w:val="99"/>
    <w:semiHidden/>
    <w:rsid w:val="004F0BD3"/>
    <w:rPr>
      <w:sz w:val="20"/>
      <w:szCs w:val="20"/>
    </w:rPr>
  </w:style>
  <w:style w:type="paragraph" w:styleId="EndnoteText">
    <w:name w:val="endnote text"/>
    <w:basedOn w:val="Normal"/>
    <w:link w:val="EndnoteTextChar"/>
    <w:uiPriority w:val="99"/>
    <w:semiHidden/>
    <w:unhideWhenUsed/>
    <w:rsid w:val="004F0BD3"/>
    <w:pPr>
      <w:spacing w:after="0" w:line="240" w:lineRule="auto"/>
    </w:pPr>
    <w:rPr>
      <w:sz w:val="20"/>
      <w:szCs w:val="20"/>
    </w:rPr>
  </w:style>
  <w:style w:type="character" w:customStyle="1" w:styleId="EndnoteTextChar1">
    <w:name w:val="Endnote Text Char1"/>
    <w:basedOn w:val="DefaultParagraphFont"/>
    <w:uiPriority w:val="99"/>
    <w:semiHidden/>
    <w:rsid w:val="004F0BD3"/>
    <w:rPr>
      <w:sz w:val="20"/>
      <w:szCs w:val="20"/>
    </w:rPr>
  </w:style>
  <w:style w:type="character" w:styleId="UnresolvedMention">
    <w:name w:val="Unresolved Mention"/>
    <w:basedOn w:val="DefaultParagraphFont"/>
    <w:uiPriority w:val="99"/>
    <w:semiHidden/>
    <w:unhideWhenUsed/>
    <w:rsid w:val="00995AD7"/>
    <w:rPr>
      <w:color w:val="605E5C"/>
      <w:shd w:val="clear" w:color="auto" w:fill="E1DFDD"/>
    </w:rPr>
  </w:style>
  <w:style w:type="paragraph" w:customStyle="1" w:styleId="paragraph">
    <w:name w:val="paragraph"/>
    <w:basedOn w:val="Normal"/>
    <w:rsid w:val="003405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4059F"/>
  </w:style>
  <w:style w:type="character" w:customStyle="1" w:styleId="eop">
    <w:name w:val="eop"/>
    <w:basedOn w:val="DefaultParagraphFont"/>
    <w:rsid w:val="0034059F"/>
  </w:style>
  <w:style w:type="paragraph" w:styleId="BalloonText">
    <w:name w:val="Balloon Text"/>
    <w:basedOn w:val="Normal"/>
    <w:link w:val="BalloonTextChar"/>
    <w:uiPriority w:val="99"/>
    <w:semiHidden/>
    <w:unhideWhenUsed/>
    <w:rsid w:val="006E706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706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50048">
      <w:bodyDiv w:val="1"/>
      <w:marLeft w:val="0"/>
      <w:marRight w:val="0"/>
      <w:marTop w:val="0"/>
      <w:marBottom w:val="0"/>
      <w:divBdr>
        <w:top w:val="none" w:sz="0" w:space="0" w:color="auto"/>
        <w:left w:val="none" w:sz="0" w:space="0" w:color="auto"/>
        <w:bottom w:val="none" w:sz="0" w:space="0" w:color="auto"/>
        <w:right w:val="none" w:sz="0" w:space="0" w:color="auto"/>
      </w:divBdr>
    </w:div>
    <w:div w:id="1338072793">
      <w:bodyDiv w:val="1"/>
      <w:marLeft w:val="0"/>
      <w:marRight w:val="0"/>
      <w:marTop w:val="0"/>
      <w:marBottom w:val="0"/>
      <w:divBdr>
        <w:top w:val="none" w:sz="0" w:space="0" w:color="auto"/>
        <w:left w:val="none" w:sz="0" w:space="0" w:color="auto"/>
        <w:bottom w:val="none" w:sz="0" w:space="0" w:color="auto"/>
        <w:right w:val="none" w:sz="0" w:space="0" w:color="auto"/>
      </w:divBdr>
      <w:divsChild>
        <w:div w:id="41640868">
          <w:marLeft w:val="0"/>
          <w:marRight w:val="0"/>
          <w:marTop w:val="0"/>
          <w:marBottom w:val="0"/>
          <w:divBdr>
            <w:top w:val="none" w:sz="0" w:space="0" w:color="auto"/>
            <w:left w:val="none" w:sz="0" w:space="0" w:color="auto"/>
            <w:bottom w:val="none" w:sz="0" w:space="0" w:color="auto"/>
            <w:right w:val="none" w:sz="0" w:space="0" w:color="auto"/>
          </w:divBdr>
        </w:div>
        <w:div w:id="296954284">
          <w:marLeft w:val="0"/>
          <w:marRight w:val="0"/>
          <w:marTop w:val="0"/>
          <w:marBottom w:val="0"/>
          <w:divBdr>
            <w:top w:val="none" w:sz="0" w:space="0" w:color="auto"/>
            <w:left w:val="none" w:sz="0" w:space="0" w:color="auto"/>
            <w:bottom w:val="none" w:sz="0" w:space="0" w:color="auto"/>
            <w:right w:val="none" w:sz="0" w:space="0" w:color="auto"/>
          </w:divBdr>
        </w:div>
        <w:div w:id="602106403">
          <w:marLeft w:val="0"/>
          <w:marRight w:val="0"/>
          <w:marTop w:val="0"/>
          <w:marBottom w:val="0"/>
          <w:divBdr>
            <w:top w:val="none" w:sz="0" w:space="0" w:color="auto"/>
            <w:left w:val="none" w:sz="0" w:space="0" w:color="auto"/>
            <w:bottom w:val="none" w:sz="0" w:space="0" w:color="auto"/>
            <w:right w:val="none" w:sz="0" w:space="0" w:color="auto"/>
          </w:divBdr>
        </w:div>
        <w:div w:id="965428132">
          <w:marLeft w:val="0"/>
          <w:marRight w:val="0"/>
          <w:marTop w:val="0"/>
          <w:marBottom w:val="0"/>
          <w:divBdr>
            <w:top w:val="none" w:sz="0" w:space="0" w:color="auto"/>
            <w:left w:val="none" w:sz="0" w:space="0" w:color="auto"/>
            <w:bottom w:val="none" w:sz="0" w:space="0" w:color="auto"/>
            <w:right w:val="none" w:sz="0" w:space="0" w:color="auto"/>
          </w:divBdr>
        </w:div>
        <w:div w:id="1099257621">
          <w:marLeft w:val="0"/>
          <w:marRight w:val="0"/>
          <w:marTop w:val="0"/>
          <w:marBottom w:val="0"/>
          <w:divBdr>
            <w:top w:val="none" w:sz="0" w:space="0" w:color="auto"/>
            <w:left w:val="none" w:sz="0" w:space="0" w:color="auto"/>
            <w:bottom w:val="none" w:sz="0" w:space="0" w:color="auto"/>
            <w:right w:val="none" w:sz="0" w:space="0" w:color="auto"/>
          </w:divBdr>
        </w:div>
        <w:div w:id="1377313413">
          <w:marLeft w:val="0"/>
          <w:marRight w:val="0"/>
          <w:marTop w:val="0"/>
          <w:marBottom w:val="0"/>
          <w:divBdr>
            <w:top w:val="none" w:sz="0" w:space="0" w:color="auto"/>
            <w:left w:val="none" w:sz="0" w:space="0" w:color="auto"/>
            <w:bottom w:val="none" w:sz="0" w:space="0" w:color="auto"/>
            <w:right w:val="none" w:sz="0" w:space="0" w:color="auto"/>
          </w:divBdr>
        </w:div>
        <w:div w:id="1521432408">
          <w:marLeft w:val="0"/>
          <w:marRight w:val="0"/>
          <w:marTop w:val="0"/>
          <w:marBottom w:val="0"/>
          <w:divBdr>
            <w:top w:val="none" w:sz="0" w:space="0" w:color="auto"/>
            <w:left w:val="none" w:sz="0" w:space="0" w:color="auto"/>
            <w:bottom w:val="none" w:sz="0" w:space="0" w:color="auto"/>
            <w:right w:val="none" w:sz="0" w:space="0" w:color="auto"/>
          </w:divBdr>
        </w:div>
        <w:div w:id="1532376787">
          <w:marLeft w:val="0"/>
          <w:marRight w:val="0"/>
          <w:marTop w:val="0"/>
          <w:marBottom w:val="0"/>
          <w:divBdr>
            <w:top w:val="none" w:sz="0" w:space="0" w:color="auto"/>
            <w:left w:val="none" w:sz="0" w:space="0" w:color="auto"/>
            <w:bottom w:val="none" w:sz="0" w:space="0" w:color="auto"/>
            <w:right w:val="none" w:sz="0" w:space="0" w:color="auto"/>
          </w:divBdr>
        </w:div>
      </w:divsChild>
    </w:div>
    <w:div w:id="1677347921">
      <w:bodyDiv w:val="1"/>
      <w:marLeft w:val="0"/>
      <w:marRight w:val="0"/>
      <w:marTop w:val="0"/>
      <w:marBottom w:val="0"/>
      <w:divBdr>
        <w:top w:val="none" w:sz="0" w:space="0" w:color="auto"/>
        <w:left w:val="none" w:sz="0" w:space="0" w:color="auto"/>
        <w:bottom w:val="none" w:sz="0" w:space="0" w:color="auto"/>
        <w:right w:val="none" w:sz="0" w:space="0" w:color="auto"/>
      </w:divBdr>
      <w:divsChild>
        <w:div w:id="721565172">
          <w:marLeft w:val="0"/>
          <w:marRight w:val="0"/>
          <w:marTop w:val="0"/>
          <w:marBottom w:val="0"/>
          <w:divBdr>
            <w:top w:val="none" w:sz="0" w:space="0" w:color="auto"/>
            <w:left w:val="none" w:sz="0" w:space="0" w:color="auto"/>
            <w:bottom w:val="none" w:sz="0" w:space="0" w:color="auto"/>
            <w:right w:val="none" w:sz="0" w:space="0" w:color="auto"/>
          </w:divBdr>
        </w:div>
        <w:div w:id="1293244843">
          <w:marLeft w:val="0"/>
          <w:marRight w:val="0"/>
          <w:marTop w:val="0"/>
          <w:marBottom w:val="0"/>
          <w:divBdr>
            <w:top w:val="none" w:sz="0" w:space="0" w:color="auto"/>
            <w:left w:val="none" w:sz="0" w:space="0" w:color="auto"/>
            <w:bottom w:val="none" w:sz="0" w:space="0" w:color="auto"/>
            <w:right w:val="none" w:sz="0" w:space="0" w:color="auto"/>
          </w:divBdr>
        </w:div>
        <w:div w:id="1519467226">
          <w:marLeft w:val="0"/>
          <w:marRight w:val="0"/>
          <w:marTop w:val="0"/>
          <w:marBottom w:val="0"/>
          <w:divBdr>
            <w:top w:val="none" w:sz="0" w:space="0" w:color="auto"/>
            <w:left w:val="none" w:sz="0" w:space="0" w:color="auto"/>
            <w:bottom w:val="none" w:sz="0" w:space="0" w:color="auto"/>
            <w:right w:val="none" w:sz="0" w:space="0" w:color="auto"/>
          </w:divBdr>
        </w:div>
        <w:div w:id="1603537102">
          <w:marLeft w:val="0"/>
          <w:marRight w:val="0"/>
          <w:marTop w:val="0"/>
          <w:marBottom w:val="0"/>
          <w:divBdr>
            <w:top w:val="none" w:sz="0" w:space="0" w:color="auto"/>
            <w:left w:val="none" w:sz="0" w:space="0" w:color="auto"/>
            <w:bottom w:val="none" w:sz="0" w:space="0" w:color="auto"/>
            <w:right w:val="none" w:sz="0" w:space="0" w:color="auto"/>
          </w:divBdr>
        </w:div>
      </w:divsChild>
    </w:div>
    <w:div w:id="204828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ylpi.org" TargetMode="External"/><Relationship Id="rId4" Type="http://schemas.openxmlformats.org/officeDocument/2006/relationships/settings" Target="settings.xml"/><Relationship Id="rId9" Type="http://schemas.openxmlformats.org/officeDocument/2006/relationships/hyperlink" Target="https://www.nyc.gov/assets/tlc/downloads/pdf/annual_report_2022.pdf"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www.nyc.gov/site/mopd/resources/resources.page" TargetMode="External"/><Relationship Id="rId2" Type="http://schemas.openxmlformats.org/officeDocument/2006/relationships/hyperlink" Target="https://www.nylpi.org/wp-content/uploads/2021/10/2021_Continuing-to-be-Left-Behind-Report.pdf" TargetMode="External"/><Relationship Id="rId1" Type="http://schemas.openxmlformats.org/officeDocument/2006/relationships/hyperlink" Target="https://www.nyc.gov/assets/tlc/downloads/pdf/annual_report_2022.pdf" TargetMode="External"/><Relationship Id="rId4" Type="http://schemas.openxmlformats.org/officeDocument/2006/relationships/hyperlink" Target="https://www.epa.gov/climateimpacts/climate-change-and-health-people-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99841-BDB3-4257-B5CF-81062ACE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972</Words>
  <Characters>5546</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Wood</dc:creator>
  <cp:keywords/>
  <dc:description/>
  <cp:lastModifiedBy>Justin Wood</cp:lastModifiedBy>
  <cp:revision>3</cp:revision>
  <cp:lastPrinted>2023-09-20T11:26:00Z</cp:lastPrinted>
  <dcterms:created xsi:type="dcterms:W3CDTF">2023-09-20T11:26:00Z</dcterms:created>
  <dcterms:modified xsi:type="dcterms:W3CDTF">2023-09-20T11:26:00Z</dcterms:modified>
</cp:coreProperties>
</file>